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960" w:lineRule="exact"/>
        <w:rPr>
          <w:rFonts w:ascii="方正小标宋简体" w:eastAsia="方正小标宋简体"/>
          <w:color w:val="FF0000"/>
          <w:kern w:val="0"/>
          <w:sz w:val="84"/>
          <w:szCs w:val="84"/>
        </w:rPr>
      </w:pPr>
      <w:r>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1188720</wp:posOffset>
                </wp:positionV>
                <wp:extent cx="1485900" cy="1186815"/>
                <wp:effectExtent l="0" t="0" r="0" b="0"/>
                <wp:wrapNone/>
                <wp:docPr id="2"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485900" cy="1186815"/>
                        </a:xfrm>
                        <a:prstGeom prst="rect">
                          <a:avLst/>
                        </a:prstGeom>
                        <a:noFill/>
                        <a:ln>
                          <a:noFill/>
                        </a:ln>
                      </wps:spPr>
                      <wps:txbx>
                        <w:txbxContent>
                          <w:p>
                            <w:pPr>
                              <w:rPr>
                                <w:rFonts w:ascii="方正小标宋简体" w:eastAsia="方正小标宋简体"/>
                                <w:sz w:val="44"/>
                                <w:szCs w:val="44"/>
                              </w:rPr>
                            </w:pPr>
                            <w:r>
                              <w:rPr>
                                <w:rFonts w:hint="eastAsia" w:ascii="方正小标宋简体" w:eastAsia="方正小标宋简体"/>
                                <w:color w:val="FF0000"/>
                                <w:w w:val="50"/>
                                <w:kern w:val="0"/>
                                <w:sz w:val="112"/>
                                <w:szCs w:val="96"/>
                              </w:rPr>
                              <w:t>（</w:t>
                            </w:r>
                            <w:r>
                              <w:rPr>
                                <w:rFonts w:hint="eastAsia" w:ascii="方正小标宋简体" w:eastAsia="方正小标宋简体"/>
                                <w:w w:val="50"/>
                                <w:kern w:val="0"/>
                                <w:sz w:val="72"/>
                                <w:szCs w:val="72"/>
                              </w:rPr>
                              <w:t>通知</w:t>
                            </w:r>
                            <w:r>
                              <w:rPr>
                                <w:rFonts w:hint="eastAsia" w:ascii="方正小标宋简体" w:eastAsia="方正小标宋简体"/>
                                <w:color w:val="FF0000"/>
                                <w:w w:val="50"/>
                                <w:kern w:val="0"/>
                                <w:sz w:val="112"/>
                                <w:szCs w:val="96"/>
                              </w:rPr>
                              <w:t>）</w:t>
                            </w:r>
                          </w:p>
                        </w:txbxContent>
                      </wps:txbx>
                      <wps:bodyPr rot="0" vert="horz" wrap="square" lIns="91440" tIns="45720" rIns="91440" bIns="45720" anchor="t" anchorCtr="0" upright="1">
                        <a:noAutofit/>
                      </wps:bodyPr>
                    </wps:wsp>
                  </a:graphicData>
                </a:graphic>
              </wp:anchor>
            </w:drawing>
          </mc:Choice>
          <mc:Fallback>
            <w:pict>
              <v:shape id="文本框 6" o:spid="_x0000_s1026" o:spt="202" type="#_x0000_t202" style="position:absolute;left:0pt;margin-left:351pt;margin-top:93.6pt;height:93.45pt;width:117pt;z-index:251659264;mso-width-relative:page;mso-height-relative:page;" filled="f" stroked="f" coordsize="21600,21600" o:gfxdata="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ZAOHg2QAAAAsBAAAPAAAAAAAAAAEAIAAAACIAAABkcnMvZG93bnJl&#10;di54bWxQSwECFAAUAAAACACHTuJAHtwX8PwBAADIAwAADgAAAAAAAAABACAAAAAoAQAAZHJzL2Uy&#10;b0RvYy54bWxQSwUGAAAAAAYABgBZAQAAlgUAAAAA&#10;">
                <v:fill on="f" focussize="0,0"/>
                <v:stroke on="f"/>
                <v:imagedata o:title=""/>
                <o:lock v:ext="edit" aspectratio="f"/>
                <v:textbox>
                  <w:txbxContent>
                    <w:p>
                      <w:pPr>
                        <w:rPr>
                          <w:rFonts w:ascii="方正小标宋简体" w:eastAsia="方正小标宋简体"/>
                          <w:sz w:val="44"/>
                          <w:szCs w:val="44"/>
                        </w:rPr>
                      </w:pPr>
                      <w:r>
                        <w:rPr>
                          <w:rFonts w:hint="eastAsia" w:ascii="方正小标宋简体" w:eastAsia="方正小标宋简体"/>
                          <w:color w:val="FF0000"/>
                          <w:w w:val="50"/>
                          <w:kern w:val="0"/>
                          <w:sz w:val="112"/>
                          <w:szCs w:val="96"/>
                        </w:rPr>
                        <w:t>（</w:t>
                      </w:r>
                      <w:r>
                        <w:rPr>
                          <w:rFonts w:hint="eastAsia" w:ascii="方正小标宋简体" w:eastAsia="方正小标宋简体"/>
                          <w:w w:val="50"/>
                          <w:kern w:val="0"/>
                          <w:sz w:val="72"/>
                          <w:szCs w:val="72"/>
                        </w:rPr>
                        <w:t>通知</w:t>
                      </w:r>
                      <w:r>
                        <w:rPr>
                          <w:rFonts w:hint="eastAsia" w:ascii="方正小标宋简体" w:eastAsia="方正小标宋简体"/>
                          <w:color w:val="FF0000"/>
                          <w:w w:val="50"/>
                          <w:kern w:val="0"/>
                          <w:sz w:val="112"/>
                          <w:szCs w:val="96"/>
                        </w:rPr>
                        <w:t>）</w:t>
                      </w:r>
                    </w:p>
                  </w:txbxContent>
                </v:textbox>
              </v:shape>
            </w:pict>
          </mc:Fallback>
        </mc:AlternateContent>
      </w:r>
    </w:p>
    <w:p>
      <w:pPr>
        <w:spacing w:line="1500" w:lineRule="exact"/>
        <w:rPr>
          <w:rFonts w:ascii="方正小标宋简体" w:eastAsia="方正小标宋简体"/>
          <w:color w:val="FF0000"/>
          <w:w w:val="50"/>
          <w:kern w:val="0"/>
          <w:sz w:val="112"/>
          <w:szCs w:val="96"/>
        </w:rPr>
      </w:pPr>
      <w:r>
        <w:rPr>
          <w:rFonts w:hint="eastAsia" w:ascii="方正小标宋简体" w:eastAsia="方正小标宋简体"/>
          <w:color w:val="FF0000"/>
          <w:w w:val="50"/>
          <w:kern w:val="0"/>
          <w:sz w:val="112"/>
          <w:szCs w:val="96"/>
        </w:rPr>
        <w:t>扬州市哲学社会科学界联合会</w:t>
      </w:r>
    </w:p>
    <w:p>
      <w:pPr>
        <w:jc w:val="center"/>
        <w:rPr>
          <w:rFonts w:ascii="仿宋_GB2312" w:eastAsia="仿宋_GB2312"/>
          <w:color w:val="000000"/>
          <w:sz w:val="32"/>
        </w:rPr>
      </w:pPr>
    </w:p>
    <w:p>
      <w:pPr>
        <w:jc w:val="center"/>
        <w:rPr>
          <w:rFonts w:ascii="仿宋_GB2312" w:eastAsia="仿宋_GB2312"/>
          <w:color w:val="000000"/>
          <w:sz w:val="32"/>
        </w:rPr>
      </w:pPr>
    </w:p>
    <w:p>
      <w:pPr>
        <w:jc w:val="center"/>
        <w:rPr>
          <w:rFonts w:ascii="仿宋_GB2312" w:eastAsia="仿宋_GB2312"/>
          <w:color w:val="FFFFFF"/>
          <w:sz w:val="32"/>
        </w:rPr>
      </w:pPr>
      <w:r>
        <w:rPr>
          <w:rFonts w:hint="eastAsia" w:ascii="仿宋_GB2312" w:eastAsia="仿宋_GB2312"/>
          <w:sz w:val="32"/>
        </w:rPr>
        <w:t>扬社联〔2023〕10号</w:t>
      </w:r>
    </w:p>
    <w:p>
      <w:pPr>
        <w:spacing w:line="240" w:lineRule="exact"/>
        <w:jc w:val="center"/>
        <w:rPr>
          <w:rFonts w:ascii="方正小标宋简体" w:hAnsi="黑体" w:eastAsia="方正小标宋简体"/>
          <w:sz w:val="44"/>
          <w:szCs w:val="44"/>
        </w:rPr>
      </w:pPr>
      <w: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84455</wp:posOffset>
                </wp:positionV>
                <wp:extent cx="5593080" cy="0"/>
                <wp:effectExtent l="0" t="0" r="26670" b="19050"/>
                <wp:wrapNone/>
                <wp:docPr id="1"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593080" cy="0"/>
                        </a:xfrm>
                        <a:prstGeom prst="line">
                          <a:avLst/>
                        </a:prstGeom>
                        <a:noFill/>
                        <a:ln w="19050">
                          <a:solidFill>
                            <a:srgbClr val="FF0000"/>
                          </a:solidFill>
                          <a:round/>
                        </a:ln>
                      </wps:spPr>
                      <wps:bodyPr/>
                    </wps:wsp>
                  </a:graphicData>
                </a:graphic>
              </wp:anchor>
            </w:drawing>
          </mc:Choice>
          <mc:Fallback>
            <w:pict>
              <v:line id="直接连接符 5" o:spid="_x0000_s1026" o:spt="20" style="position:absolute;left:0pt;margin-left:0.6pt;margin-top:6.65pt;height:0pt;width:440.4pt;z-index:251660288;mso-width-relative:page;mso-height-relative:page;" filled="f" stroked="t" coordsize="21600,21600" o:gfxdata="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R3aWl9UAAAAHAQAADwAAAAAAAAABACAAAAAiAAAAZHJzL2Rv&#10;d25yZXYueG1sUEsBAhQAFAAAAAgAh07iQF7r4gnLAQAAXQMAAA4AAAAAAAAAAQAgAAAAJAEAAGRy&#10;cy9lMm9Eb2MueG1sUEsFBgAAAAAGAAYAWQEAAGEFAAAAAA==&#10;">
                <v:fill on="f" focussize="0,0"/>
                <v:stroke weight="1.5pt" color="#FF0000" joinstyle="round"/>
                <v:imagedata o:title=""/>
                <o:lock v:ext="edit" aspectratio="f"/>
              </v:line>
            </w:pict>
          </mc:Fallback>
        </mc:AlternateContent>
      </w:r>
    </w:p>
    <w:p>
      <w:pPr>
        <w:spacing w:line="480" w:lineRule="exact"/>
        <w:rPr>
          <w:rFonts w:ascii="仿宋_GB2312" w:eastAsia="仿宋_GB2312"/>
          <w:sz w:val="32"/>
        </w:rPr>
      </w:pPr>
    </w:p>
    <w:p>
      <w:pPr>
        <w:spacing w:line="480" w:lineRule="exact"/>
        <w:rPr>
          <w:rFonts w:ascii="仿宋_GB2312" w:eastAsia="仿宋_GB2312"/>
          <w:sz w:val="32"/>
        </w:rPr>
      </w:pPr>
    </w:p>
    <w:p>
      <w:pPr>
        <w:spacing w:line="560" w:lineRule="exact"/>
        <w:jc w:val="center"/>
        <w:rPr>
          <w:rFonts w:ascii="方正小标宋简体" w:hAnsi="华文中宋" w:eastAsia="方正小标宋简体"/>
          <w:bCs/>
          <w:color w:val="000000"/>
          <w:sz w:val="44"/>
          <w:szCs w:val="44"/>
        </w:rPr>
      </w:pPr>
      <w:r>
        <w:rPr>
          <w:rFonts w:hint="eastAsia" w:ascii="方正小标宋简体" w:hAnsi="华文中宋" w:eastAsia="方正小标宋简体"/>
          <w:bCs/>
          <w:color w:val="000000"/>
          <w:sz w:val="44"/>
          <w:szCs w:val="44"/>
        </w:rPr>
        <w:t>关于公布扬州市202</w:t>
      </w:r>
      <w:r>
        <w:rPr>
          <w:rFonts w:ascii="方正小标宋简体" w:hAnsi="华文中宋" w:eastAsia="方正小标宋简体"/>
          <w:bCs/>
          <w:color w:val="000000"/>
          <w:sz w:val="44"/>
          <w:szCs w:val="44"/>
        </w:rPr>
        <w:t>2</w:t>
      </w:r>
      <w:r>
        <w:rPr>
          <w:rFonts w:hint="eastAsia" w:ascii="方正小标宋简体" w:hAnsi="华文中宋" w:eastAsia="方正小标宋简体"/>
          <w:bCs/>
          <w:color w:val="000000"/>
          <w:sz w:val="44"/>
          <w:szCs w:val="44"/>
        </w:rPr>
        <w:t>年度</w:t>
      </w:r>
    </w:p>
    <w:p>
      <w:pPr>
        <w:spacing w:line="560" w:lineRule="exact"/>
        <w:jc w:val="center"/>
        <w:rPr>
          <w:rFonts w:ascii="方正小标宋简体" w:hAnsi="华文中宋" w:eastAsia="方正小标宋简体"/>
          <w:bCs/>
          <w:color w:val="000000"/>
          <w:sz w:val="44"/>
          <w:szCs w:val="44"/>
        </w:rPr>
      </w:pPr>
      <w:r>
        <w:rPr>
          <w:rFonts w:hint="eastAsia" w:ascii="方正小标宋简体" w:hAnsi="华文中宋" w:eastAsia="方正小标宋简体"/>
          <w:bCs/>
          <w:color w:val="000000"/>
          <w:sz w:val="44"/>
          <w:szCs w:val="44"/>
        </w:rPr>
        <w:t>市级社科重点课题结项项目的通知</w:t>
      </w:r>
    </w:p>
    <w:p>
      <w:pPr>
        <w:spacing w:line="560" w:lineRule="exact"/>
        <w:rPr>
          <w:rFonts w:ascii="方正小标宋简体" w:eastAsia="方正小标宋简体"/>
          <w:color w:val="000000"/>
          <w:sz w:val="32"/>
        </w:rPr>
      </w:pPr>
    </w:p>
    <w:p>
      <w:pPr>
        <w:spacing w:line="560" w:lineRule="exact"/>
        <w:rPr>
          <w:rFonts w:ascii="仿宋_GB2312" w:eastAsia="仿宋_GB2312"/>
          <w:color w:val="000000"/>
          <w:sz w:val="32"/>
          <w:szCs w:val="32"/>
        </w:rPr>
      </w:pPr>
      <w:r>
        <w:rPr>
          <w:rFonts w:hint="eastAsia" w:ascii="仿宋_GB2312" w:eastAsia="仿宋_GB2312"/>
          <w:color w:val="000000"/>
          <w:sz w:val="32"/>
          <w:szCs w:val="32"/>
        </w:rPr>
        <w:t>各有关单位：</w:t>
      </w:r>
    </w:p>
    <w:p>
      <w:pPr>
        <w:spacing w:line="560" w:lineRule="exact"/>
        <w:ind w:firstLine="640"/>
        <w:rPr>
          <w:rFonts w:ascii="仿宋_GB2312" w:eastAsia="仿宋_GB2312"/>
          <w:color w:val="000000"/>
          <w:sz w:val="32"/>
          <w:szCs w:val="32"/>
        </w:rPr>
      </w:pPr>
      <w:r>
        <w:rPr>
          <w:rFonts w:hint="eastAsia" w:ascii="仿宋_GB2312" w:eastAsia="仿宋_GB2312"/>
          <w:color w:val="000000"/>
          <w:sz w:val="32"/>
          <w:szCs w:val="32"/>
        </w:rPr>
        <w:t>202</w:t>
      </w:r>
      <w:r>
        <w:rPr>
          <w:rFonts w:ascii="仿宋_GB2312" w:eastAsia="仿宋_GB2312"/>
          <w:color w:val="000000"/>
          <w:sz w:val="32"/>
          <w:szCs w:val="32"/>
        </w:rPr>
        <w:t>2</w:t>
      </w:r>
      <w:r>
        <w:rPr>
          <w:rFonts w:hint="eastAsia" w:ascii="仿宋_GB2312" w:eastAsia="仿宋_GB2312"/>
          <w:color w:val="000000"/>
          <w:sz w:val="32"/>
          <w:szCs w:val="32"/>
        </w:rPr>
        <w:t>年市社科联共立项市级社科重点课题</w:t>
      </w:r>
      <w:r>
        <w:rPr>
          <w:rFonts w:ascii="仿宋_GB2312" w:eastAsia="仿宋_GB2312"/>
          <w:color w:val="000000"/>
          <w:sz w:val="32"/>
          <w:szCs w:val="32"/>
        </w:rPr>
        <w:t>399</w:t>
      </w:r>
      <w:r>
        <w:rPr>
          <w:rFonts w:hint="eastAsia" w:ascii="仿宋_GB2312" w:eastAsia="仿宋_GB2312"/>
          <w:color w:val="000000"/>
          <w:sz w:val="32"/>
          <w:szCs w:val="32"/>
        </w:rPr>
        <w:t>项。经专家评审，现对其中项符合要求的</w:t>
      </w:r>
      <w:r>
        <w:rPr>
          <w:rFonts w:ascii="仿宋_GB2312" w:eastAsia="仿宋_GB2312"/>
          <w:color w:val="000000"/>
          <w:sz w:val="32"/>
          <w:szCs w:val="32"/>
        </w:rPr>
        <w:t>396</w:t>
      </w:r>
      <w:r>
        <w:rPr>
          <w:rFonts w:hint="eastAsia" w:ascii="仿宋_GB2312" w:eastAsia="仿宋_GB2312"/>
          <w:color w:val="000000"/>
          <w:sz w:val="32"/>
          <w:szCs w:val="32"/>
        </w:rPr>
        <w:t>项课题予以结项（名单附后），结项时间按202</w:t>
      </w:r>
      <w:r>
        <w:rPr>
          <w:rFonts w:ascii="仿宋_GB2312" w:eastAsia="仿宋_GB2312"/>
          <w:color w:val="000000"/>
          <w:sz w:val="32"/>
          <w:szCs w:val="32"/>
        </w:rPr>
        <w:t>2</w:t>
      </w:r>
      <w:r>
        <w:rPr>
          <w:rFonts w:hint="eastAsia" w:ascii="仿宋_GB2312" w:eastAsia="仿宋_GB2312"/>
          <w:color w:val="000000"/>
          <w:sz w:val="32"/>
          <w:szCs w:val="32"/>
        </w:rPr>
        <w:t>年12月计算。</w:t>
      </w:r>
    </w:p>
    <w:p>
      <w:pPr>
        <w:spacing w:line="560" w:lineRule="exact"/>
        <w:ind w:firstLine="640"/>
        <w:rPr>
          <w:rFonts w:ascii="仿宋_GB2312" w:eastAsia="仿宋_GB2312"/>
          <w:color w:val="000000"/>
          <w:sz w:val="32"/>
          <w:szCs w:val="32"/>
        </w:rPr>
      </w:pPr>
      <w:r>
        <w:rPr>
          <w:rFonts w:hint="eastAsia" w:ascii="仿宋_GB2312" w:eastAsia="仿宋_GB2312"/>
          <w:color w:val="000000"/>
          <w:sz w:val="32"/>
          <w:szCs w:val="32"/>
        </w:rPr>
        <w:t>希望我市广大社科工作者</w:t>
      </w:r>
      <w:r>
        <w:rPr>
          <w:rFonts w:eastAsia="仿宋_GB2312"/>
          <w:color w:val="000000"/>
          <w:sz w:val="32"/>
          <w:szCs w:val="32"/>
        </w:rPr>
        <w:t>认真学习贯彻习近平新时代中国特色社会主义思想，</w:t>
      </w:r>
      <w:r>
        <w:rPr>
          <w:rFonts w:hint="eastAsia" w:ascii="仿宋_GB2312" w:eastAsia="仿宋_GB2312"/>
          <w:color w:val="000000"/>
          <w:sz w:val="32"/>
          <w:szCs w:val="32"/>
        </w:rPr>
        <w:t>深入贯彻党的二十大精神和</w:t>
      </w:r>
      <w:r>
        <w:rPr>
          <w:rFonts w:hint="eastAsia" w:eastAsia="仿宋_GB2312"/>
          <w:color w:val="000000"/>
          <w:sz w:val="32"/>
          <w:szCs w:val="32"/>
        </w:rPr>
        <w:t>习近平总书记视察江苏视察扬州重要讲话指示精神</w:t>
      </w:r>
      <w:r>
        <w:rPr>
          <w:rFonts w:eastAsia="仿宋_GB2312"/>
          <w:color w:val="000000"/>
          <w:sz w:val="32"/>
          <w:szCs w:val="32"/>
        </w:rPr>
        <w:t>，按照</w:t>
      </w:r>
      <w:r>
        <w:rPr>
          <w:rFonts w:hint="eastAsia" w:eastAsia="仿宋_GB2312"/>
          <w:color w:val="000000"/>
          <w:sz w:val="32"/>
          <w:szCs w:val="32"/>
        </w:rPr>
        <w:t>市委八届五次全会</w:t>
      </w:r>
      <w:r>
        <w:rPr>
          <w:rFonts w:eastAsia="仿宋_GB2312"/>
          <w:color w:val="000000"/>
          <w:sz w:val="32"/>
          <w:szCs w:val="32"/>
        </w:rPr>
        <w:t>部署要求，以助力经济社会高质量发展为导向</w:t>
      </w:r>
      <w:r>
        <w:rPr>
          <w:rFonts w:hint="eastAsia" w:eastAsia="仿宋_GB2312"/>
          <w:color w:val="000000"/>
          <w:sz w:val="32"/>
          <w:szCs w:val="32"/>
        </w:rPr>
        <w:t>，紧扣“强富美高”总目标，着眼“争当表率、争做示范、走在前列”，围绕把扬州“好地方”建设好发展好，</w:t>
      </w:r>
      <w:r>
        <w:rPr>
          <w:rFonts w:eastAsia="仿宋_GB2312"/>
          <w:color w:val="000000"/>
          <w:sz w:val="32"/>
          <w:szCs w:val="32"/>
        </w:rPr>
        <w:t>踔厉奋发，笃行不怠，</w:t>
      </w:r>
      <w:r>
        <w:rPr>
          <w:rFonts w:hint="eastAsia" w:ascii="仿宋_GB2312" w:eastAsia="仿宋_GB2312"/>
          <w:color w:val="000000"/>
          <w:sz w:val="32"/>
          <w:szCs w:val="32"/>
        </w:rPr>
        <w:t>加强研究，为推动中国式现代化的扬州新实践探索做出新的更大贡献。</w:t>
      </w:r>
    </w:p>
    <w:p>
      <w:pPr>
        <w:spacing w:line="560" w:lineRule="exact"/>
        <w:rPr>
          <w:rFonts w:hAnsi="仿宋" w:eastAsia="仿宋_GB2312" w:cs="仿宋"/>
          <w:sz w:val="32"/>
          <w:szCs w:val="32"/>
          <w:lang w:val="zh-CN"/>
        </w:rPr>
      </w:pPr>
    </w:p>
    <w:p>
      <w:pPr>
        <w:spacing w:line="560" w:lineRule="exact"/>
        <w:rPr>
          <w:rFonts w:ascii="仿宋_GB2312" w:eastAsia="仿宋_GB2312"/>
          <w:color w:val="000000"/>
          <w:spacing w:val="-2"/>
          <w:sz w:val="32"/>
          <w:szCs w:val="32"/>
        </w:rPr>
      </w:pPr>
      <w:r>
        <w:rPr>
          <w:rFonts w:hint="eastAsia" w:ascii="仿宋_GB2312" w:eastAsia="仿宋_GB2312"/>
          <w:color w:val="000000"/>
          <w:sz w:val="32"/>
          <w:szCs w:val="32"/>
        </w:rPr>
        <w:t>附：扬州市202</w:t>
      </w:r>
      <w:r>
        <w:rPr>
          <w:rFonts w:ascii="仿宋_GB2312" w:eastAsia="仿宋_GB2312"/>
          <w:color w:val="000000"/>
          <w:sz w:val="32"/>
          <w:szCs w:val="32"/>
        </w:rPr>
        <w:t>2</w:t>
      </w:r>
      <w:r>
        <w:rPr>
          <w:rFonts w:hint="eastAsia" w:ascii="仿宋_GB2312" w:eastAsia="仿宋_GB2312"/>
          <w:color w:val="000000"/>
          <w:sz w:val="32"/>
          <w:szCs w:val="32"/>
        </w:rPr>
        <w:t>年度市级社科重点课题</w:t>
      </w:r>
      <w:r>
        <w:rPr>
          <w:rFonts w:hint="eastAsia" w:ascii="仿宋_GB2312" w:eastAsia="仿宋_GB2312"/>
          <w:color w:val="000000"/>
          <w:spacing w:val="-2"/>
          <w:sz w:val="32"/>
          <w:szCs w:val="32"/>
        </w:rPr>
        <w:t>结项项目名单</w:t>
      </w:r>
    </w:p>
    <w:p>
      <w:pPr>
        <w:spacing w:line="560" w:lineRule="exact"/>
        <w:ind w:right="640"/>
        <w:rPr>
          <w:rFonts w:ascii="宋体" w:hAnsi="宋体"/>
          <w:b/>
          <w:sz w:val="18"/>
          <w:szCs w:val="18"/>
        </w:rPr>
      </w:pPr>
    </w:p>
    <w:p>
      <w:pPr>
        <w:spacing w:line="560" w:lineRule="exact"/>
        <w:ind w:right="640"/>
        <w:rPr>
          <w:rFonts w:ascii="宋体" w:hAnsi="宋体"/>
          <w:b/>
          <w:sz w:val="18"/>
          <w:szCs w:val="18"/>
        </w:rPr>
      </w:pPr>
    </w:p>
    <w:p>
      <w:pPr>
        <w:spacing w:line="560" w:lineRule="exact"/>
        <w:ind w:right="640"/>
        <w:rPr>
          <w:rFonts w:ascii="宋体" w:hAnsi="宋体"/>
          <w:b/>
          <w:sz w:val="18"/>
          <w:szCs w:val="18"/>
        </w:rPr>
      </w:pPr>
      <w:r>
        <w:drawing>
          <wp:anchor distT="0" distB="0" distL="114300" distR="114300" simplePos="0" relativeHeight="251658240" behindDoc="1" locked="0" layoutInCell="1" allowOverlap="1">
            <wp:simplePos x="0" y="0"/>
            <wp:positionH relativeFrom="column">
              <wp:posOffset>2838450</wp:posOffset>
            </wp:positionH>
            <wp:positionV relativeFrom="paragraph">
              <wp:posOffset>250190</wp:posOffset>
            </wp:positionV>
            <wp:extent cx="1381125" cy="1514475"/>
            <wp:effectExtent l="0" t="0" r="9525" b="9525"/>
            <wp:wrapNone/>
            <wp:docPr id="3" name="图片 2" descr="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z3"/>
                    <pic:cNvPicPr>
                      <a:picLocks noChangeAspect="1"/>
                    </pic:cNvPicPr>
                  </pic:nvPicPr>
                  <pic:blipFill>
                    <a:blip r:embed="rId5"/>
                    <a:stretch>
                      <a:fillRect/>
                    </a:stretch>
                  </pic:blipFill>
                  <pic:spPr>
                    <a:xfrm>
                      <a:off x="0" y="0"/>
                      <a:ext cx="1381125" cy="1514475"/>
                    </a:xfrm>
                    <a:prstGeom prst="rect">
                      <a:avLst/>
                    </a:prstGeom>
                    <a:noFill/>
                    <a:ln>
                      <a:noFill/>
                    </a:ln>
                  </pic:spPr>
                </pic:pic>
              </a:graphicData>
            </a:graphic>
          </wp:anchor>
        </w:drawing>
      </w:r>
    </w:p>
    <w:p>
      <w:pPr>
        <w:spacing w:line="560" w:lineRule="exact"/>
        <w:ind w:right="640"/>
        <w:rPr>
          <w:rFonts w:ascii="宋体" w:hAnsi="宋体"/>
          <w:b/>
          <w:sz w:val="18"/>
          <w:szCs w:val="18"/>
        </w:rPr>
      </w:pPr>
    </w:p>
    <w:p>
      <w:pPr>
        <w:spacing w:line="560" w:lineRule="exact"/>
        <w:ind w:right="640"/>
        <w:jc w:val="right"/>
        <w:rPr>
          <w:rFonts w:ascii="仿宋_GB2312" w:hAnsi="仿宋" w:eastAsia="仿宋_GB2312"/>
          <w:sz w:val="32"/>
          <w:szCs w:val="32"/>
        </w:rPr>
      </w:pPr>
      <w:r>
        <w:rPr>
          <w:rFonts w:hint="eastAsia" w:ascii="仿宋_GB2312" w:hAnsi="仿宋" w:eastAsia="仿宋_GB2312"/>
          <w:sz w:val="32"/>
          <w:szCs w:val="32"/>
        </w:rPr>
        <w:t>扬州市哲学社会科学界联合会</w:t>
      </w:r>
    </w:p>
    <w:p>
      <w:pPr>
        <w:spacing w:line="560" w:lineRule="exact"/>
        <w:ind w:right="1600"/>
        <w:jc w:val="right"/>
        <w:rPr>
          <w:rFonts w:ascii="仿宋_GB2312" w:hAnsi="仿宋" w:eastAsia="仿宋_GB2312"/>
          <w:sz w:val="32"/>
          <w:szCs w:val="32"/>
        </w:rPr>
      </w:pPr>
      <w:r>
        <w:rPr>
          <w:rFonts w:hint="eastAsia" w:ascii="仿宋_GB2312" w:hAnsi="仿宋" w:eastAsia="仿宋_GB2312"/>
          <w:sz w:val="32"/>
          <w:szCs w:val="32"/>
        </w:rPr>
        <w:t>202</w:t>
      </w:r>
      <w:r>
        <w:rPr>
          <w:rFonts w:ascii="仿宋_GB2312" w:hAnsi="仿宋" w:eastAsia="仿宋_GB2312"/>
          <w:sz w:val="32"/>
          <w:szCs w:val="32"/>
        </w:rPr>
        <w:t>3</w:t>
      </w:r>
      <w:r>
        <w:rPr>
          <w:rFonts w:hint="eastAsia" w:ascii="仿宋_GB2312" w:hAnsi="仿宋" w:eastAsia="仿宋_GB2312"/>
          <w:sz w:val="32"/>
          <w:szCs w:val="32"/>
        </w:rPr>
        <w:t>年3月6日</w:t>
      </w:r>
    </w:p>
    <w:p/>
    <w:p/>
    <w:p/>
    <w:p/>
    <w:p/>
    <w:p/>
    <w:p/>
    <w:p/>
    <w:p/>
    <w:p/>
    <w:p/>
    <w:p/>
    <w:p/>
    <w:p/>
    <w:p/>
    <w:p/>
    <w:p/>
    <w:p/>
    <w:p/>
    <w:p/>
    <w:p/>
    <w:p/>
    <w:p/>
    <w:p/>
    <w:p/>
    <w:p/>
    <w:p>
      <w:pPr>
        <w:widowControl/>
        <w:shd w:val="clear" w:color="auto" w:fill="FFFFFF"/>
        <w:spacing w:line="270" w:lineRule="atLeast"/>
        <w:jc w:val="left"/>
        <w:rPr>
          <w:rFonts w:ascii="仿宋_GB2312" w:eastAsia="仿宋_GB2312"/>
          <w:color w:val="000000"/>
          <w:sz w:val="32"/>
          <w:szCs w:val="32"/>
        </w:rPr>
      </w:pPr>
      <w:r>
        <w:rPr>
          <w:rFonts w:hint="eastAsia" w:ascii="仿宋_GB2312" w:eastAsia="仿宋_GB2312"/>
          <w:color w:val="000000"/>
          <w:sz w:val="32"/>
          <w:szCs w:val="32"/>
        </w:rPr>
        <w:t>附：</w:t>
      </w:r>
    </w:p>
    <w:p>
      <w:pPr>
        <w:widowControl/>
        <w:shd w:val="clear" w:color="auto" w:fill="FFFFFF"/>
        <w:spacing w:line="270" w:lineRule="atLeast"/>
        <w:jc w:val="center"/>
        <w:rPr>
          <w:rFonts w:ascii="黑体" w:hAnsi="黑体" w:eastAsia="黑体"/>
          <w:color w:val="000000"/>
          <w:spacing w:val="-2"/>
          <w:sz w:val="36"/>
          <w:szCs w:val="36"/>
        </w:rPr>
      </w:pPr>
      <w:r>
        <w:rPr>
          <w:rFonts w:hint="eastAsia" w:ascii="黑体" w:hAnsi="黑体" w:eastAsia="黑体"/>
          <w:color w:val="000000"/>
          <w:sz w:val="36"/>
          <w:szCs w:val="36"/>
        </w:rPr>
        <w:t>扬州市202</w:t>
      </w:r>
      <w:r>
        <w:rPr>
          <w:rFonts w:ascii="黑体" w:hAnsi="黑体" w:eastAsia="黑体"/>
          <w:color w:val="000000"/>
          <w:sz w:val="36"/>
          <w:szCs w:val="36"/>
        </w:rPr>
        <w:t>2</w:t>
      </w:r>
      <w:r>
        <w:rPr>
          <w:rFonts w:hint="eastAsia" w:ascii="黑体" w:hAnsi="黑体" w:eastAsia="黑体"/>
          <w:color w:val="000000"/>
          <w:sz w:val="36"/>
          <w:szCs w:val="36"/>
        </w:rPr>
        <w:t>年度市级社科重点课题</w:t>
      </w:r>
      <w:r>
        <w:rPr>
          <w:rFonts w:hint="eastAsia" w:ascii="黑体" w:hAnsi="黑体" w:eastAsia="黑体"/>
          <w:color w:val="000000"/>
          <w:spacing w:val="-2"/>
          <w:sz w:val="36"/>
          <w:szCs w:val="36"/>
        </w:rPr>
        <w:t>结项项目名单</w:t>
      </w:r>
    </w:p>
    <w:p>
      <w:pPr>
        <w:rPr>
          <w:rFonts w:ascii="Calibri" w:hAnsi="Calibri"/>
        </w:rPr>
      </w:pPr>
    </w:p>
    <w:tbl>
      <w:tblPr>
        <w:tblStyle w:val="6"/>
        <w:tblW w:w="9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3366"/>
        <w:gridCol w:w="3000"/>
        <w:gridCol w:w="1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noWrap/>
            <w:vAlign w:val="center"/>
          </w:tcPr>
          <w:p>
            <w:pPr>
              <w:widowControl/>
              <w:shd w:val="clear" w:color="auto" w:fill="FFFFFF"/>
              <w:spacing w:line="270" w:lineRule="atLeast"/>
              <w:jc w:val="center"/>
              <w:rPr>
                <w:rFonts w:ascii="黑体" w:hAnsi="黑体" w:eastAsia="黑体"/>
                <w:color w:val="000000"/>
                <w:sz w:val="28"/>
                <w:szCs w:val="28"/>
              </w:rPr>
            </w:pPr>
            <w:r>
              <w:rPr>
                <w:rFonts w:hint="eastAsia" w:ascii="黑体" w:hAnsi="黑体" w:eastAsia="黑体"/>
                <w:color w:val="000000"/>
                <w:sz w:val="28"/>
                <w:szCs w:val="28"/>
              </w:rPr>
              <w:t>序号</w:t>
            </w:r>
          </w:p>
        </w:tc>
        <w:tc>
          <w:tcPr>
            <w:tcW w:w="3366" w:type="dxa"/>
            <w:tcBorders>
              <w:tl2br w:val="nil"/>
              <w:tr2bl w:val="nil"/>
            </w:tcBorders>
            <w:vAlign w:val="center"/>
          </w:tcPr>
          <w:p>
            <w:pPr>
              <w:widowControl/>
              <w:shd w:val="clear" w:color="auto" w:fill="FFFFFF"/>
              <w:spacing w:line="270" w:lineRule="atLeast"/>
              <w:jc w:val="center"/>
              <w:rPr>
                <w:rFonts w:ascii="黑体" w:hAnsi="黑体" w:eastAsia="黑体"/>
                <w:color w:val="000000"/>
                <w:sz w:val="28"/>
                <w:szCs w:val="28"/>
              </w:rPr>
            </w:pPr>
            <w:r>
              <w:rPr>
                <w:rFonts w:hint="eastAsia" w:ascii="黑体" w:hAnsi="黑体" w:eastAsia="黑体"/>
                <w:color w:val="000000"/>
                <w:sz w:val="28"/>
                <w:szCs w:val="28"/>
              </w:rPr>
              <w:t>课题名称</w:t>
            </w:r>
          </w:p>
        </w:tc>
        <w:tc>
          <w:tcPr>
            <w:tcW w:w="3000" w:type="dxa"/>
            <w:tcBorders>
              <w:tl2br w:val="nil"/>
              <w:tr2bl w:val="nil"/>
            </w:tcBorders>
            <w:vAlign w:val="center"/>
          </w:tcPr>
          <w:p>
            <w:pPr>
              <w:widowControl/>
              <w:shd w:val="clear" w:color="auto" w:fill="FFFFFF"/>
              <w:spacing w:line="270" w:lineRule="atLeast"/>
              <w:jc w:val="center"/>
              <w:rPr>
                <w:rFonts w:ascii="黑体" w:hAnsi="黑体" w:eastAsia="黑体"/>
                <w:color w:val="000000"/>
                <w:sz w:val="28"/>
                <w:szCs w:val="28"/>
              </w:rPr>
            </w:pPr>
            <w:r>
              <w:rPr>
                <w:rFonts w:hint="eastAsia" w:ascii="黑体" w:hAnsi="黑体" w:eastAsia="黑体"/>
                <w:color w:val="000000"/>
                <w:sz w:val="28"/>
                <w:szCs w:val="28"/>
              </w:rPr>
              <w:t>课题组成员</w:t>
            </w:r>
          </w:p>
        </w:tc>
        <w:tc>
          <w:tcPr>
            <w:tcW w:w="1997" w:type="dxa"/>
            <w:tcBorders>
              <w:tl2br w:val="nil"/>
              <w:tr2bl w:val="nil"/>
            </w:tcBorders>
            <w:vAlign w:val="center"/>
          </w:tcPr>
          <w:p>
            <w:pPr>
              <w:widowControl/>
              <w:shd w:val="clear" w:color="auto" w:fill="FFFFFF"/>
              <w:spacing w:line="270" w:lineRule="atLeast"/>
              <w:jc w:val="center"/>
              <w:rPr>
                <w:rFonts w:ascii="黑体" w:hAnsi="黑体" w:eastAsia="黑体"/>
                <w:color w:val="000000"/>
                <w:sz w:val="28"/>
                <w:szCs w:val="28"/>
              </w:rPr>
            </w:pPr>
            <w:r>
              <w:rPr>
                <w:rFonts w:hint="eastAsia" w:ascii="黑体" w:hAnsi="黑体" w:eastAsia="黑体"/>
                <w:color w:val="000000"/>
                <w:sz w:val="28"/>
                <w:szCs w:val="28"/>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县域脱贫攻坚与乡村振兴的衔接机制及路径研究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李蕴哲、戴玉琴、徐建飞、张佳佳、孙经纬</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扬州市水安全格局构建及生态保护修复优先区识别研究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罗云建、禹文东、华月婷、朱子月</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扬州市绿色廊道构建研究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禹文东、杜佳、秦承志、谢海敏、陶欣、曹玮、陈颖晖</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基于生物文化多样性评价的扬州运河与城市协同发展研究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马坤、罗云建、禹文东、陈颖晖</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5</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扬州文化创意产业发展创新路径研究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张冰冰、万庆红、秦忠亚、陈芃、漆诗怡</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6</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扬州市“东亚文化之都”品牌建设研究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成莉、王小平、夏炎</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7</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大运河视域下的唐代扬州音乐文艺及现代启示</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刘硕</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8</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非遗视域下扬剧的保护与创新研究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杨羽、魏琳琳、钱鹏宇、张语萱</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9</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文旅融合视域下扬州文化遗产的数字化展示与传播研究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何亭 、任意、刘念、李英丽、唐荣、文靓、宋婧扬</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10</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扬州中国大运河博物馆传播可供性研究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邓天白、叶芳婷、许青、马超、余春兰、姜倩雯</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11</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扬州市网络名师工作室运行现状与机制研究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张浩、刘园、李军、倪震祥、韩晨、杨云帆、李新惠</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12</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公共空间与运河文化传播研究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坚斌、冯锐、秦宗财、胡亮、虞文俊、高坚</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13</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数字经济时代扬州文化创意产业发展路径研究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蔡之国、张晨、张春红、黄婧煊</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14</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党建引领视阈下高校双创育人实现路径与培养机制研究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谈志娟、张勇、景荣</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15</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党建引领扬州农村基层治理现代化研究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李闯、高群</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16</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乡村振兴战略背景下扬州市农村住房改造路径研究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周广茂、张爱民、丁星生、郝军、段淑芳</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17</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基于ERG理论的扬州城市社区社工队伍建设的发展路径研究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林超、印月、黄金结</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18</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扬州大运河古市镇的变迁与个性化发展模式研究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王旭、周倩</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19</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新冠疫情对扬州市劳动力市场的冲击及趋势研究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周春平、孙景波、韩嘉、成新华、殷荣</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20</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大运河江苏段文化旅游影响因子共生研究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徐娟、杨国峰、黄杰、顾建强</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21</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扬州市社区养老服务机构空间布局优化研究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王杰、梁贤艳、刘子洋、刘国庆、陈展雁、秦磊</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22</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扬州海外高层次人才引进与集聚政策研究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施俊、孙鹏、杨泽峰、韩育志、毕瑜林、姚天雯</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23</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文旅融合视角下扬州古街区“沉浸式传统漆作坊”设计规划研究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李玫、李孟鸿</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24</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协同推进乡村振兴与扬州城乡公共文化服务发展策略研究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谢玮、耿其杨、郁琳、朱卉、王慧敏、衡雨、赵廷立、朱旭苒、张雨晖</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25</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基于气味景观营造的扬州园林游线规划设计研究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包广龙、宋桂杰、郁琳、王婷婷、高倩、蒋亚伦、肖瑶、李文玟、汪巧凤、陈文洁、王悰滢</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26</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扬州明清染房资源梳理与文旅开发研究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罗茜尹、王继胜、季敏、马培培、门宇静</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27</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 扬州市文化创意产业发展研究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严加平、李卉</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28</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村书记、主任“一肩挑”研究：现实障碍与应对策略——以扬州市邗江区为例</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徐建飞、王张庆、董静、许伟伟</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29</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“团室共建”人才聚集模式研究——以扬州市邗江区为例</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王雪婷、徐宽兴、李亿、陈颖洁</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30</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扬州社区居民自治视域下党组织组织力建设研究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周慧珺、王张庆、王明君、杨晔</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31</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基于互联网大数据的扬州“世界美食之都”品牌影响力提升策略研究</w:t>
            </w:r>
          </w:p>
        </w:tc>
        <w:tc>
          <w:tcPr>
            <w:tcW w:w="3000" w:type="dxa"/>
            <w:tcBorders>
              <w:tl2br w:val="nil"/>
              <w:tr2bl w:val="nil"/>
            </w:tcBorders>
            <w:noWrap/>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莫凡 、韩洋、徐亚萍、王伟屹、徐彤、濮语纯 </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32</w:t>
            </w:r>
          </w:p>
        </w:tc>
        <w:tc>
          <w:tcPr>
            <w:tcW w:w="3366" w:type="dxa"/>
            <w:tcBorders>
              <w:tl2br w:val="nil"/>
              <w:tr2bl w:val="nil"/>
            </w:tcBorders>
            <w:noWrap/>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新时代扎实推动共同富裕实践理路研究</w:t>
            </w:r>
          </w:p>
        </w:tc>
        <w:tc>
          <w:tcPr>
            <w:tcW w:w="3000" w:type="dxa"/>
            <w:tcBorders>
              <w:tl2br w:val="nil"/>
              <w:tr2bl w:val="nil"/>
            </w:tcBorders>
            <w:noWrap/>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刘华、朱益飞、徐俊、韩昌跃、钟清莲</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33</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全民阅读视角下扬州城市书房创新服务策略研究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王维佳、韩宗晨</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34</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扬州妇女就业市场现状研究 </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杨慧、韩昌跃、刘志珊、吕燕、顾详香、周慧珺、李秀华、李菁、李洁</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35</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扬州市公共文化服务建设存在的问题与对策研究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符宇忠、李佳媛、符念悠、范一飞</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36</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以系统思维推进高校基层党组织建设的实践与探索</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李亿、刘继平、陈颖洁</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37</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扬州城市文明建设与市民文明素质提升研究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徐薇、曹峻、吴允侠、汤标、魏吉华、吴正兵、谌韵灵、刘辰</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38</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扬州文创旅游小微企业演化格局和发展路径研究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王佳莹 、张爱平 、金阳、王晨红</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39</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基于品牌个性理论的扬州“世界美食之都”品牌塑造研究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程小敏、曹仲文、王波、马健鹰、魏胡婷</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40</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科技创新背景下扬州现代国防军工产业体系培养研究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惠慧、杨巧林、蒋志伟、宋朝华、章小卫、马楠</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41</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“双减”政策背景下扬州城市书房中儿童阅读空间营造研究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鲁墨、张蔚、鲁东海、赵靓、钱香林</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42</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双碳目标下扬州城市居民低碳出行引导策略研究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刘路、冯小伟、车宇禄、宋帆</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43</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大数据环境下扬州城市公园文化服务评价研究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叶鹏、刘雨平、何鹤鸣、郭红霞、杨萌</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44</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扬州“世界遗产典范城市”旅游目的地形象构建路径研究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刘国维、宋桂杰、李胜才、张建新、郭燏烽、马鑫、许立</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45</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“双社联动”探路新形势下扬州基层社区治理新模式</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吴浩、刘佩健、滕金聪、马莉</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46</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粮食安全背景下扬州市粮食生产优化布局研究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贲永青、张玉娥</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47</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扬州市重大科技创新人才对策研究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任扬</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48</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体育融入社会治理的运行机制与实践路径探索——以扬州市为例 </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张陟遥、刘伟忠、杨国屏、吴颖文、张晨、王晓燕、邹红美、杨文</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49</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红色家书融入新时代廉洁文化教育的路径研究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邹红美、张陟遥、张运、蔡雪斌、金秀平</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50</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大运河文化形象的视觉修辞与传播策略研究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徐丹丹、杨郑一、秦宗财、刘万松、龚超</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51</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基于“遗产+”理念的扬州大运河文化带及国家文化公园建设路径研究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宋桂杰、孙明光、张益、光晓霞、姚强、叶舒、程青菡、宋佳欣</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52</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后疫情时代下大学生绿色生活模式研究——以扬州大学广陵学院为例</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邹玖春、熊作明、李淑艳、方慧敏、冉莉萍、贺惠文</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扬州大学广陵学院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53</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扬州高校毕业生就地择业状况研究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肖婷、季玥、赵津磊、张世义、章潮</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扬州大学广陵学院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54</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改革开放以来扬州主城区—江都空间关联演化与功能重构</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邵卫东、付小艳、武洋、马杰、祝亚莉、殷鸣、姚德波、陈芳、黄锐</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55</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扬州市完善农村人居环境整治长效机制研究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蒋丽、袁帅、易飞、韩媛媛、黄兴国、袁刚、闵立中</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56</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后疫情时代扬州城市民宿现状与发展路径研究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王淼、赵子剑、曹云、张敏</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57</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“立德树人”理念在高校音乐专业课程中的教学设计研究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封琴、吴文婷、徐彩云、陈岭、王珏、魏清</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58</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地方高校教育资源对于推动学习型社会建设的影响研究——以社会音乐教育为例</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吴文婷、徐彩云、戴映、刘熠</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59</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扬州毛绒玩具产业电商的集聚发展研究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陈郁青、刘载泉、沈志洲、徐高艳、金韬</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highlight w:val="yellow"/>
                <w:lang w:bidi="ar"/>
              </w:rPr>
            </w:pPr>
            <w:r>
              <w:rPr>
                <w:rFonts w:hint="eastAsia" w:ascii="宋体" w:hAnsi="宋体" w:cs="宋体"/>
                <w:color w:val="000000"/>
                <w:kern w:val="0"/>
                <w:sz w:val="24"/>
                <w:highlight w:val="yellow"/>
                <w:lang w:bidi="ar"/>
              </w:rPr>
              <w:t>60</w:t>
            </w:r>
          </w:p>
        </w:tc>
        <w:tc>
          <w:tcPr>
            <w:tcW w:w="3366" w:type="dxa"/>
            <w:tcBorders>
              <w:tl2br w:val="nil"/>
              <w:tr2bl w:val="nil"/>
            </w:tcBorders>
            <w:vAlign w:val="center"/>
          </w:tcPr>
          <w:p>
            <w:pPr>
              <w:widowControl/>
              <w:textAlignment w:val="center"/>
              <w:rPr>
                <w:rFonts w:ascii="宋体" w:hAnsi="宋体" w:cs="宋体"/>
                <w:color w:val="000000"/>
                <w:kern w:val="0"/>
                <w:sz w:val="24"/>
                <w:highlight w:val="yellow"/>
                <w:lang w:bidi="ar"/>
              </w:rPr>
            </w:pPr>
            <w:r>
              <w:rPr>
                <w:rFonts w:hint="eastAsia" w:ascii="宋体" w:hAnsi="宋体" w:cs="宋体"/>
                <w:color w:val="000000"/>
                <w:kern w:val="0"/>
                <w:sz w:val="24"/>
                <w:highlight w:val="yellow"/>
                <w:lang w:bidi="ar"/>
              </w:rPr>
              <w:t>学脉千年：大运河文化带书院教育的历史溯考与价值活化</w:t>
            </w:r>
          </w:p>
        </w:tc>
        <w:tc>
          <w:tcPr>
            <w:tcW w:w="3000" w:type="dxa"/>
            <w:tcBorders>
              <w:tl2br w:val="nil"/>
              <w:tr2bl w:val="nil"/>
            </w:tcBorders>
            <w:vAlign w:val="center"/>
          </w:tcPr>
          <w:p>
            <w:pPr>
              <w:widowControl/>
              <w:textAlignment w:val="center"/>
              <w:rPr>
                <w:rFonts w:ascii="宋体" w:hAnsi="宋体" w:cs="宋体"/>
                <w:color w:val="000000"/>
                <w:kern w:val="0"/>
                <w:sz w:val="24"/>
                <w:highlight w:val="yellow"/>
                <w:lang w:bidi="ar"/>
              </w:rPr>
            </w:pPr>
            <w:r>
              <w:rPr>
                <w:rFonts w:hint="eastAsia" w:ascii="宋体" w:hAnsi="宋体" w:cs="宋体"/>
                <w:color w:val="000000"/>
                <w:kern w:val="0"/>
                <w:sz w:val="24"/>
                <w:highlight w:val="yellow"/>
                <w:lang w:bidi="ar"/>
              </w:rPr>
              <w:t>魏潘婷、尤微、杨杏芳、马融、贾一真、陈青青、姜艳、杨楠、周彤、周倩</w:t>
            </w:r>
          </w:p>
        </w:tc>
        <w:tc>
          <w:tcPr>
            <w:tcW w:w="1997" w:type="dxa"/>
            <w:tcBorders>
              <w:tl2br w:val="nil"/>
              <w:tr2bl w:val="nil"/>
            </w:tcBorders>
            <w:vAlign w:val="center"/>
          </w:tcPr>
          <w:p>
            <w:pPr>
              <w:widowControl/>
              <w:jc w:val="center"/>
              <w:textAlignment w:val="center"/>
              <w:rPr>
                <w:rFonts w:ascii="宋体" w:hAnsi="宋体" w:cs="宋体"/>
                <w:color w:val="000000"/>
                <w:kern w:val="0"/>
                <w:sz w:val="24"/>
                <w:highlight w:val="yellow"/>
                <w:lang w:bidi="ar"/>
              </w:rPr>
            </w:pPr>
            <w:r>
              <w:rPr>
                <w:rFonts w:hint="eastAsia" w:ascii="宋体" w:hAnsi="宋体" w:cs="宋体"/>
                <w:color w:val="000000"/>
                <w:kern w:val="0"/>
                <w:sz w:val="24"/>
                <w:highlight w:val="yellow"/>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61</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“双减”政策背景下扬州地区青少年体育培训市场发展研究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沈竹雅、谭剑、丁志英、员石、吴昊、吴小能、刘鑫</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62</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文旅融合背景下扬州“世界美食之都”品牌建设与开发研究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王兆成、 张志祥 、段七零、罗朝霞</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63</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高职院校校友资源助推扬州“好地方”建设的路径研究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李颖、袁倩、袁刚、张翔、张志永、闵立中</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64</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以大运河文化赋能高校校园文化特色化建设研究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崔金辉、花军、杨丹丹、孙生民、汤娟、潘旭欣、梁孝梅、郭雨旸、刘仪蒙、蒋彦君</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65</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数字经济时代下的职业教育研究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陈君、全巧梅、黄瑞、赵文金</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66</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2022年疫情防控与“双减”背景下扬州校外教育培训机构现状与发展对策研究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华芳、唐胜、王皓、 周珏、 吴海燕</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67</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“碳达峰，碳中和”目标下扬州交通碳排放量测算及绿色发展路径研究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沙爱敏、陈婷、邵红才、仝小芳、李宏亮</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68</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乡村振兴背景下的扬州市耕地保护研究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黄兴国、付小艳、张贺、姚德波 、郑文娟、高扬、胡鹏</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69</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基于“双评价”的扬州市国土空间优化研究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李安芹、易飞、王年红、黄兴国、杨镇宇、丁家伟</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70</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运河文化带的传统音乐资源与旅游产业互促发展策略探究——以扬州段为例 </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徐彩云、宋鹏、张梅、王宇晨、王珏</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71</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“双碳”目标下扬州氢能产业发展路径研究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张建宏、闵立中、朱亚东、张兆东、张浩</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72</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物联网技术在扬州市现代农业的应用研究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张静、褚军、薛芗、房艳、徐顺飞、孙建勇</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73</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数字经济背景下高等职业院校发展思路</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胡珂、叶蓉、袁泉、李颖</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74</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医疗卫生与养老服务相结合研究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李芹 、朱海容 、汤劲松、 仇姝 、孙雯 、卞冬萍 、袁红网、 刘红梅、 丁旻 、赵旭 、凌兰兰</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75</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扬州传统非遗的数字化传承与创新</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姚干勤、许文娟、阮文杰 </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76</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扬州市老旧小区改造的实践分析与对策</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王鹏、李松良、任洁、宋志雄、吕艳、陈彦、闫志刚、张淑静 </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77</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乡村振兴背景下现代农业园区建设政府功能优化研究---以海峡两岸（扬州）农业合作试验区广陵观光农业核心区为例</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杨萍、赵沁、王海峰、彭飞、吕志松、陈逸扬 </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78</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双循环格局下扬州先进制造业高质量发展路径研究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朱亚东、朱丹凤、郝欣妮、闵立中、高艳、周中升、张浩、张建宏</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79</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科技创新背景下扬州加快新型基础设施建设的模式及路径研究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于斐、吕明、胡惜春、施玉梅</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80</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扬州市重点河湖健康评估和治理措施研究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魏峰、鲍家泽、周志成</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81</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传统工艺美术的时代化改进对策研究——以扬州工艺美术品牌的“年轻化”为例</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陈娇月、吴怡、范永琨、吴婷婷、周湛清、孙子娴、郭艺、仇国梁、谢玮</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82</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因运而生：基于运河文化独特性的扬州中国大运河博物馆文创产品设计</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肖玉婷、朱娜、郭艺、王君</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83</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新形势下促进多渠道灵活就业的对策研究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王凤明、纪杰</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84</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碳达峰背景下的产业绿色转型对策研究-以扬州市为例</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刘文桃、 曹玮、杨阿喜</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85</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基于大数据的扬州市街道活力评价研究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徐艳、黄瑞、吕杰、王玉龙、顾晓莉</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highlight w:val="yellow"/>
                <w:lang w:bidi="ar"/>
              </w:rPr>
            </w:pPr>
            <w:r>
              <w:rPr>
                <w:rFonts w:hint="eastAsia" w:ascii="宋体" w:hAnsi="宋体" w:cs="宋体"/>
                <w:color w:val="000000"/>
                <w:kern w:val="0"/>
                <w:sz w:val="24"/>
                <w:highlight w:val="yellow"/>
                <w:lang w:bidi="ar"/>
              </w:rPr>
              <w:t>86</w:t>
            </w:r>
          </w:p>
        </w:tc>
        <w:tc>
          <w:tcPr>
            <w:tcW w:w="3366" w:type="dxa"/>
            <w:tcBorders>
              <w:tl2br w:val="nil"/>
              <w:tr2bl w:val="nil"/>
            </w:tcBorders>
            <w:vAlign w:val="center"/>
          </w:tcPr>
          <w:p>
            <w:pPr>
              <w:widowControl/>
              <w:textAlignment w:val="center"/>
              <w:rPr>
                <w:rFonts w:ascii="宋体" w:hAnsi="宋体" w:cs="宋体"/>
                <w:color w:val="000000"/>
                <w:kern w:val="0"/>
                <w:sz w:val="24"/>
                <w:highlight w:val="yellow"/>
                <w:lang w:bidi="ar"/>
              </w:rPr>
            </w:pPr>
            <w:r>
              <w:rPr>
                <w:rFonts w:hint="eastAsia" w:ascii="宋体" w:hAnsi="宋体" w:cs="宋体"/>
                <w:color w:val="000000"/>
                <w:kern w:val="0"/>
                <w:sz w:val="24"/>
                <w:highlight w:val="yellow"/>
                <w:lang w:bidi="ar"/>
              </w:rPr>
              <w:t>坚持佛教中国化方向的地方实践研究——以扬州佛教40年发展历程为例</w:t>
            </w:r>
          </w:p>
        </w:tc>
        <w:tc>
          <w:tcPr>
            <w:tcW w:w="3000" w:type="dxa"/>
            <w:tcBorders>
              <w:tl2br w:val="nil"/>
              <w:tr2bl w:val="nil"/>
            </w:tcBorders>
            <w:vAlign w:val="center"/>
          </w:tcPr>
          <w:p>
            <w:pPr>
              <w:widowControl/>
              <w:textAlignment w:val="center"/>
              <w:rPr>
                <w:rFonts w:ascii="宋体" w:hAnsi="宋体" w:cs="宋体"/>
                <w:color w:val="000000"/>
                <w:kern w:val="0"/>
                <w:sz w:val="24"/>
                <w:highlight w:val="yellow"/>
                <w:lang w:bidi="ar"/>
              </w:rPr>
            </w:pPr>
            <w:r>
              <w:rPr>
                <w:rFonts w:hint="eastAsia" w:ascii="宋体" w:hAnsi="宋体" w:cs="宋体"/>
                <w:color w:val="000000"/>
                <w:kern w:val="0"/>
                <w:sz w:val="24"/>
                <w:highlight w:val="yellow"/>
                <w:lang w:bidi="ar"/>
              </w:rPr>
              <w:t>马越、张琛</w:t>
            </w:r>
          </w:p>
        </w:tc>
        <w:tc>
          <w:tcPr>
            <w:tcW w:w="1997" w:type="dxa"/>
            <w:tcBorders>
              <w:tl2br w:val="nil"/>
              <w:tr2bl w:val="nil"/>
            </w:tcBorders>
            <w:vAlign w:val="center"/>
          </w:tcPr>
          <w:p>
            <w:pPr>
              <w:widowControl/>
              <w:jc w:val="center"/>
              <w:textAlignment w:val="center"/>
              <w:rPr>
                <w:rFonts w:ascii="宋体" w:hAnsi="宋体" w:cs="宋体"/>
                <w:color w:val="000000"/>
                <w:kern w:val="0"/>
                <w:sz w:val="24"/>
                <w:highlight w:val="yellow"/>
                <w:lang w:bidi="ar"/>
              </w:rPr>
            </w:pPr>
            <w:r>
              <w:rPr>
                <w:rFonts w:hint="eastAsia" w:ascii="宋体" w:hAnsi="宋体" w:cs="宋体"/>
                <w:color w:val="000000"/>
                <w:kern w:val="0"/>
                <w:sz w:val="24"/>
                <w:highlight w:val="yellow"/>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87</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疫情常态化下扬州市中小微企业外贸“破零”国际化发展推进路径探索</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马冷冷、邵红万、吴萱、范文卿</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88</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文化符号的视觉呈现在扬州传统  文化拓展研究中的跨界应用探讨</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曹雪青、姚干勤、毛益民、郭艺、许文娟、袁菡瑶、肖玉婷</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89</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扬州市地方政府债务风险与防范研究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俞富坤、唐彩虹、汤军、刘丽扬</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highlight w:val="yellow"/>
                <w:lang w:bidi="ar"/>
              </w:rPr>
            </w:pPr>
            <w:r>
              <w:rPr>
                <w:rFonts w:hint="eastAsia" w:ascii="宋体" w:hAnsi="宋体" w:cs="宋体"/>
                <w:color w:val="000000"/>
                <w:kern w:val="0"/>
                <w:sz w:val="24"/>
                <w:highlight w:val="yellow"/>
                <w:lang w:bidi="ar"/>
              </w:rPr>
              <w:t>90</w:t>
            </w:r>
          </w:p>
        </w:tc>
        <w:tc>
          <w:tcPr>
            <w:tcW w:w="3366" w:type="dxa"/>
            <w:tcBorders>
              <w:tl2br w:val="nil"/>
              <w:tr2bl w:val="nil"/>
            </w:tcBorders>
            <w:vAlign w:val="center"/>
          </w:tcPr>
          <w:p>
            <w:pPr>
              <w:widowControl/>
              <w:textAlignment w:val="center"/>
              <w:rPr>
                <w:rFonts w:ascii="宋体" w:hAnsi="宋体" w:cs="宋体"/>
                <w:color w:val="000000"/>
                <w:kern w:val="0"/>
                <w:sz w:val="24"/>
                <w:highlight w:val="yellow"/>
                <w:lang w:bidi="ar"/>
              </w:rPr>
            </w:pPr>
            <w:r>
              <w:rPr>
                <w:rFonts w:hint="eastAsia" w:ascii="宋体" w:hAnsi="宋体" w:cs="宋体"/>
                <w:color w:val="000000"/>
                <w:kern w:val="0"/>
                <w:sz w:val="24"/>
                <w:highlight w:val="yellow"/>
                <w:lang w:bidi="ar"/>
              </w:rPr>
              <w:t>城市公共文化空间的泛在服务形态考察——以扬州市“城市书房”为例</w:t>
            </w:r>
          </w:p>
        </w:tc>
        <w:tc>
          <w:tcPr>
            <w:tcW w:w="3000" w:type="dxa"/>
            <w:tcBorders>
              <w:tl2br w:val="nil"/>
              <w:tr2bl w:val="nil"/>
            </w:tcBorders>
            <w:vAlign w:val="center"/>
          </w:tcPr>
          <w:p>
            <w:pPr>
              <w:widowControl/>
              <w:textAlignment w:val="center"/>
              <w:rPr>
                <w:rFonts w:ascii="宋体" w:hAnsi="宋体" w:cs="宋体"/>
                <w:color w:val="000000"/>
                <w:kern w:val="0"/>
                <w:sz w:val="24"/>
                <w:highlight w:val="yellow"/>
                <w:lang w:bidi="ar"/>
              </w:rPr>
            </w:pPr>
            <w:r>
              <w:rPr>
                <w:rFonts w:hint="eastAsia" w:ascii="宋体" w:hAnsi="宋体" w:cs="宋体"/>
                <w:color w:val="000000"/>
                <w:kern w:val="0"/>
                <w:sz w:val="24"/>
                <w:highlight w:val="yellow"/>
                <w:lang w:bidi="ar"/>
              </w:rPr>
              <w:t>尤微、魏潘婷、朱军、郭平、马越、陈青青、贾一真、马融</w:t>
            </w:r>
          </w:p>
        </w:tc>
        <w:tc>
          <w:tcPr>
            <w:tcW w:w="1997" w:type="dxa"/>
            <w:tcBorders>
              <w:tl2br w:val="nil"/>
              <w:tr2bl w:val="nil"/>
            </w:tcBorders>
            <w:vAlign w:val="center"/>
          </w:tcPr>
          <w:p>
            <w:pPr>
              <w:widowControl/>
              <w:jc w:val="center"/>
              <w:textAlignment w:val="center"/>
              <w:rPr>
                <w:rFonts w:ascii="宋体" w:hAnsi="宋体" w:cs="宋体"/>
                <w:color w:val="000000"/>
                <w:kern w:val="0"/>
                <w:sz w:val="24"/>
                <w:highlight w:val="yellow"/>
                <w:lang w:bidi="ar"/>
              </w:rPr>
            </w:pPr>
            <w:r>
              <w:rPr>
                <w:rFonts w:hint="eastAsia" w:ascii="宋体" w:hAnsi="宋体" w:cs="宋体"/>
                <w:color w:val="000000"/>
                <w:kern w:val="0"/>
                <w:sz w:val="24"/>
                <w:highlight w:val="yellow"/>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91</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双碳背景下家庭厨余垃圾减量化资源化对策研究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刘海春、吴晨星、刘岳树、薛梅、徐锐、邱小燕</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92</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针对老年群体的公共文化资源配置优化路径</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金涛、陆亚玲、 石继华、沐卫萍 、江桂英</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93</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老旧小区改造的实践分析与对策研究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高云婕、熊登榜、张苏俊、徐斌、杜洪林</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94</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扬州地方立法语言规范化研究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魏巍巍、潘建国、夏泽民、刘丽丽</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95</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文化适应理论视角下高校留学生语言能力培养与提升策略研究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王元明、魏巍巍、耿霏、吴笑吾、钟廿琪</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96</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后疫情视域下扬州实体经济发展现状及对策分析</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姚忠、李莉、刘丽扬、史晓明</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97</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基于事件域与动作链互动模型的动态行为语篇研究：以扬州评话《武松——斗杀西门庆》为例</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张靖宇、杨永刚、方艳</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98</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常态化疫情防控下扬州旅游业升级转型的思路</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唐建、徐雪繁、李莉、于斐</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99</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基于 AHP 扬州农村物流最后一公里的影响因素及效能提升研究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王义芳、史艳娜</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100</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“东亚文化之都“建设与扬州文旅资源整合的提升研究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袁菡瑶、李宏伟、郭艺、许文娟、陈皎月、周一椿</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101</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打造扬州大运河线性文化遗产走廊，塑造城市生态廊道</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许歆云 、储咏梅 、张晨  、陈皎月 、沈朋  </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102</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扬州市机器人及智能装备产业发展现状分析与对策建议 </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方小坤、杨安新</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103</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“一带一路”背景下基于产教融合的扬州高校来华留学生培养研究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沐卫萍、金涛、施华玉、夏小艺、耿菲</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highlight w:val="yellow"/>
                <w:lang w:bidi="ar"/>
              </w:rPr>
            </w:pPr>
            <w:r>
              <w:rPr>
                <w:rFonts w:hint="eastAsia" w:ascii="宋体" w:hAnsi="宋体" w:cs="宋体"/>
                <w:color w:val="000000"/>
                <w:kern w:val="0"/>
                <w:sz w:val="24"/>
                <w:highlight w:val="yellow"/>
                <w:lang w:bidi="ar"/>
              </w:rPr>
              <w:t>104</w:t>
            </w:r>
          </w:p>
        </w:tc>
        <w:tc>
          <w:tcPr>
            <w:tcW w:w="3366" w:type="dxa"/>
            <w:tcBorders>
              <w:tl2br w:val="nil"/>
              <w:tr2bl w:val="nil"/>
            </w:tcBorders>
            <w:vAlign w:val="center"/>
          </w:tcPr>
          <w:p>
            <w:pPr>
              <w:widowControl/>
              <w:textAlignment w:val="center"/>
              <w:rPr>
                <w:rFonts w:ascii="宋体" w:hAnsi="宋体" w:cs="宋体"/>
                <w:color w:val="000000"/>
                <w:kern w:val="0"/>
                <w:sz w:val="24"/>
                <w:highlight w:val="yellow"/>
                <w:lang w:bidi="ar"/>
              </w:rPr>
            </w:pPr>
            <w:r>
              <w:rPr>
                <w:rFonts w:hint="eastAsia" w:ascii="宋体" w:hAnsi="宋体" w:cs="宋体"/>
                <w:color w:val="000000"/>
                <w:kern w:val="0"/>
                <w:sz w:val="24"/>
                <w:highlight w:val="yellow"/>
                <w:lang w:bidi="ar"/>
              </w:rPr>
              <w:t>新时代高职生地方红色文化认同培育路径研究</w:t>
            </w:r>
          </w:p>
        </w:tc>
        <w:tc>
          <w:tcPr>
            <w:tcW w:w="3000" w:type="dxa"/>
            <w:tcBorders>
              <w:tl2br w:val="nil"/>
              <w:tr2bl w:val="nil"/>
            </w:tcBorders>
            <w:vAlign w:val="center"/>
          </w:tcPr>
          <w:p>
            <w:pPr>
              <w:widowControl/>
              <w:textAlignment w:val="center"/>
              <w:rPr>
                <w:rFonts w:ascii="宋体" w:hAnsi="宋体" w:cs="宋体"/>
                <w:color w:val="000000"/>
                <w:kern w:val="0"/>
                <w:sz w:val="24"/>
                <w:highlight w:val="yellow"/>
                <w:lang w:bidi="ar"/>
              </w:rPr>
            </w:pPr>
            <w:r>
              <w:rPr>
                <w:rFonts w:hint="eastAsia" w:ascii="宋体" w:hAnsi="宋体" w:cs="宋体"/>
                <w:color w:val="000000"/>
                <w:kern w:val="0"/>
                <w:sz w:val="24"/>
                <w:highlight w:val="yellow"/>
                <w:lang w:bidi="ar"/>
              </w:rPr>
              <w:t>姜静、郑群、信世杰、尤微、邓峰</w:t>
            </w:r>
          </w:p>
        </w:tc>
        <w:tc>
          <w:tcPr>
            <w:tcW w:w="1997" w:type="dxa"/>
            <w:tcBorders>
              <w:tl2br w:val="nil"/>
              <w:tr2bl w:val="nil"/>
            </w:tcBorders>
            <w:vAlign w:val="center"/>
          </w:tcPr>
          <w:p>
            <w:pPr>
              <w:widowControl/>
              <w:jc w:val="center"/>
              <w:textAlignment w:val="center"/>
              <w:rPr>
                <w:rFonts w:ascii="宋体" w:hAnsi="宋体" w:cs="宋体"/>
                <w:color w:val="000000"/>
                <w:kern w:val="0"/>
                <w:sz w:val="24"/>
                <w:highlight w:val="yellow"/>
                <w:lang w:bidi="ar"/>
              </w:rPr>
            </w:pPr>
            <w:r>
              <w:rPr>
                <w:rFonts w:hint="eastAsia" w:ascii="宋体" w:hAnsi="宋体" w:cs="宋体"/>
                <w:color w:val="000000"/>
                <w:kern w:val="0"/>
                <w:sz w:val="24"/>
                <w:highlight w:val="yellow"/>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105</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世界美食之都背景下淮扬菜名日译及饮食文化传播研究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徐芸芸、徐兴华</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106</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扬州市休闲观光农业发展策略研究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王祥菊、朱泉雯、俞泓、徐月明</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107</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扬州城市环境提升对策研究——打造传统与时尚结合的新城市风格</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张晨、储咏梅、许歆云、陈娇月、丁晨阳、沈朋</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highlight w:val="yellow"/>
                <w:lang w:bidi="ar"/>
              </w:rPr>
            </w:pPr>
            <w:r>
              <w:rPr>
                <w:rFonts w:hint="eastAsia" w:ascii="宋体" w:hAnsi="宋体" w:cs="宋体"/>
                <w:color w:val="000000"/>
                <w:kern w:val="0"/>
                <w:sz w:val="24"/>
                <w:highlight w:val="yellow"/>
                <w:lang w:bidi="ar"/>
              </w:rPr>
              <w:t>108</w:t>
            </w:r>
          </w:p>
        </w:tc>
        <w:tc>
          <w:tcPr>
            <w:tcW w:w="3366" w:type="dxa"/>
            <w:tcBorders>
              <w:tl2br w:val="nil"/>
              <w:tr2bl w:val="nil"/>
            </w:tcBorders>
            <w:vAlign w:val="center"/>
          </w:tcPr>
          <w:p>
            <w:pPr>
              <w:widowControl/>
              <w:textAlignment w:val="center"/>
              <w:rPr>
                <w:rFonts w:ascii="宋体" w:hAnsi="宋体" w:cs="宋体"/>
                <w:color w:val="000000"/>
                <w:kern w:val="0"/>
                <w:sz w:val="24"/>
                <w:highlight w:val="yellow"/>
                <w:lang w:bidi="ar"/>
              </w:rPr>
            </w:pPr>
            <w:r>
              <w:rPr>
                <w:rFonts w:hint="eastAsia" w:ascii="宋体" w:hAnsi="宋体" w:cs="宋体"/>
                <w:color w:val="000000"/>
                <w:kern w:val="0"/>
                <w:sz w:val="24"/>
                <w:highlight w:val="yellow"/>
                <w:lang w:bidi="ar"/>
              </w:rPr>
              <w:t>依托运河文化资源提升高校人才城市认同感的策略研究</w:t>
            </w:r>
          </w:p>
        </w:tc>
        <w:tc>
          <w:tcPr>
            <w:tcW w:w="3000" w:type="dxa"/>
            <w:tcBorders>
              <w:tl2br w:val="nil"/>
              <w:tr2bl w:val="nil"/>
            </w:tcBorders>
            <w:vAlign w:val="center"/>
          </w:tcPr>
          <w:p>
            <w:pPr>
              <w:widowControl/>
              <w:textAlignment w:val="center"/>
              <w:rPr>
                <w:rFonts w:ascii="宋体" w:hAnsi="宋体" w:cs="宋体"/>
                <w:color w:val="000000"/>
                <w:kern w:val="0"/>
                <w:sz w:val="24"/>
                <w:highlight w:val="yellow"/>
                <w:lang w:bidi="ar"/>
              </w:rPr>
            </w:pPr>
            <w:r>
              <w:rPr>
                <w:rFonts w:hint="eastAsia" w:ascii="宋体" w:hAnsi="宋体" w:cs="宋体"/>
                <w:color w:val="000000"/>
                <w:kern w:val="0"/>
                <w:sz w:val="24"/>
                <w:highlight w:val="yellow"/>
                <w:lang w:bidi="ar"/>
              </w:rPr>
              <w:t>王燕、张荣、李金宇、谢久娟、朱卉</w:t>
            </w:r>
          </w:p>
        </w:tc>
        <w:tc>
          <w:tcPr>
            <w:tcW w:w="1997" w:type="dxa"/>
            <w:tcBorders>
              <w:tl2br w:val="nil"/>
              <w:tr2bl w:val="nil"/>
            </w:tcBorders>
            <w:vAlign w:val="center"/>
          </w:tcPr>
          <w:p>
            <w:pPr>
              <w:widowControl/>
              <w:jc w:val="center"/>
              <w:textAlignment w:val="center"/>
              <w:rPr>
                <w:rFonts w:ascii="宋体" w:hAnsi="宋体" w:cs="宋体"/>
                <w:color w:val="000000"/>
                <w:kern w:val="0"/>
                <w:sz w:val="24"/>
                <w:highlight w:val="yellow"/>
                <w:lang w:bidi="ar"/>
              </w:rPr>
            </w:pPr>
            <w:r>
              <w:rPr>
                <w:rFonts w:hint="eastAsia" w:ascii="宋体" w:hAnsi="宋体" w:cs="宋体"/>
                <w:color w:val="000000"/>
                <w:kern w:val="0"/>
                <w:sz w:val="24"/>
                <w:highlight w:val="yellow"/>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109</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扬州传统产业与战略新兴产业协同发展的对策研究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戴孝林、刘荣平、陈亮、文斌、周军</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110</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扬州基层公共文化资源配置现状和发展研究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李银川、刘苏闽、陈久安、吴美瑾</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111</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扬州就业市场与产业发展的现状分析与研究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朱萌、李莉、刘芳、苏清斌</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112</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扬州市共享电单车发展现状及对策研究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苏清斌、李莉、叶莉莉 、朱萌、刘芳</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113</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微网格员视角：大数据条件下的社会“网格化”治理问题研究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李莉、姚忠、唐建、刘丽扬、吕明</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114</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大运河文化带文化载体建设背景下扬州音乐创作研究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李晔、徐光庆、戈弘、夏峰</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115</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扬州市城市河流治理中的伦理行为路径研究——以沿山河邗江段为例</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高志明、施明华、杨先平、孙茂宏、戴光中、李章林、古良琴</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116</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依托数字乡村建设巩固拓展脱贫攻坚成果与乡村振兴的有效衔接</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蔡燕、刘荣平</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117</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 扬州体育与旅游融合发展实施途径研究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李红智、谭剑、员石、梁希、朱凌凌</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118</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疫情防控背景下扬州突发公共卫生事件应急机制中社会心理支持体系的构建与探索</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孙雯、李芹、孙业富、张志锋、宁晓敏、顾小扬、唐洁</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119</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城市集群化背景下体育与旅游融合发展研究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梁希、谭剑、仝昕炜、员石、吴小能</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120</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三孩生育政策下家庭式托育服务体系规范化发展研究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王睿智 、肖静 、杨先平</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121</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扬州市营商环境优化研究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丁万宇、陈广桂、徐磊</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122</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“数字+文化”助推扬州文旅产业高质量发展的策略研究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丁苏宁、刘荣平、成月华、郭艳琴、高雅</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123</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“世界美食之都”品牌的个性化打造研究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从菡芝、秦宗财、王婧、孟禹熙、黄杰</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124</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数字经济背景下扬州高职学生高质量就业研究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柏雨佳、刘学方、倪赛男、安奕、朱向文</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highlight w:val="yellow"/>
                <w:lang w:bidi="ar"/>
              </w:rPr>
            </w:pPr>
            <w:r>
              <w:rPr>
                <w:rFonts w:hint="eastAsia" w:ascii="宋体" w:hAnsi="宋体" w:cs="宋体"/>
                <w:color w:val="000000"/>
                <w:kern w:val="0"/>
                <w:sz w:val="24"/>
                <w:highlight w:val="yellow"/>
                <w:lang w:bidi="ar"/>
              </w:rPr>
              <w:t>125</w:t>
            </w:r>
          </w:p>
        </w:tc>
        <w:tc>
          <w:tcPr>
            <w:tcW w:w="3366" w:type="dxa"/>
            <w:tcBorders>
              <w:tl2br w:val="nil"/>
              <w:tr2bl w:val="nil"/>
            </w:tcBorders>
            <w:vAlign w:val="center"/>
          </w:tcPr>
          <w:p>
            <w:pPr>
              <w:widowControl/>
              <w:textAlignment w:val="center"/>
              <w:rPr>
                <w:rFonts w:ascii="宋体" w:hAnsi="宋体" w:cs="宋体"/>
                <w:color w:val="000000"/>
                <w:kern w:val="0"/>
                <w:sz w:val="24"/>
                <w:highlight w:val="yellow"/>
                <w:lang w:bidi="ar"/>
              </w:rPr>
            </w:pPr>
            <w:r>
              <w:rPr>
                <w:rFonts w:hint="eastAsia" w:ascii="宋体" w:hAnsi="宋体" w:cs="宋体"/>
                <w:color w:val="000000"/>
                <w:kern w:val="0"/>
                <w:sz w:val="24"/>
                <w:highlight w:val="yellow"/>
                <w:lang w:bidi="ar"/>
              </w:rPr>
              <w:t>扬州高校毕业生就地择业状况研究——以扬州职业大学为例</w:t>
            </w:r>
          </w:p>
        </w:tc>
        <w:tc>
          <w:tcPr>
            <w:tcW w:w="3000" w:type="dxa"/>
            <w:tcBorders>
              <w:tl2br w:val="nil"/>
              <w:tr2bl w:val="nil"/>
            </w:tcBorders>
            <w:vAlign w:val="center"/>
          </w:tcPr>
          <w:p>
            <w:pPr>
              <w:widowControl/>
              <w:textAlignment w:val="center"/>
              <w:rPr>
                <w:rFonts w:ascii="宋体" w:hAnsi="宋体" w:cs="宋体"/>
                <w:color w:val="000000"/>
                <w:kern w:val="0"/>
                <w:sz w:val="24"/>
                <w:highlight w:val="yellow"/>
                <w:lang w:bidi="ar"/>
              </w:rPr>
            </w:pPr>
            <w:r>
              <w:rPr>
                <w:rFonts w:hint="eastAsia" w:ascii="宋体" w:hAnsi="宋体" w:cs="宋体"/>
                <w:color w:val="000000"/>
                <w:kern w:val="0"/>
                <w:sz w:val="24"/>
                <w:highlight w:val="yellow"/>
                <w:lang w:bidi="ar"/>
              </w:rPr>
              <w:t>陈洁、梁银辉、李雪兰、林莉、吴欣怡</w:t>
            </w:r>
          </w:p>
        </w:tc>
        <w:tc>
          <w:tcPr>
            <w:tcW w:w="1997" w:type="dxa"/>
            <w:tcBorders>
              <w:tl2br w:val="nil"/>
              <w:tr2bl w:val="nil"/>
            </w:tcBorders>
            <w:vAlign w:val="center"/>
          </w:tcPr>
          <w:p>
            <w:pPr>
              <w:widowControl/>
              <w:jc w:val="center"/>
              <w:textAlignment w:val="center"/>
              <w:rPr>
                <w:rFonts w:ascii="宋体" w:hAnsi="宋体" w:cs="宋体"/>
                <w:color w:val="000000"/>
                <w:kern w:val="0"/>
                <w:sz w:val="24"/>
                <w:highlight w:val="yellow"/>
                <w:lang w:bidi="ar"/>
              </w:rPr>
            </w:pPr>
            <w:r>
              <w:rPr>
                <w:rFonts w:hint="eastAsia" w:ascii="宋体" w:hAnsi="宋体" w:cs="宋体"/>
                <w:color w:val="000000"/>
                <w:kern w:val="0"/>
                <w:sz w:val="24"/>
                <w:highlight w:val="yellow"/>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126</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扬州市民间艺术促进乡村道德文化建设路径研究——以高邮市为例</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古良琴、高婧、李晔、郭春霞、傅文萍、戴光中</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127</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疫情时代扬州高校归国留学人才统战工作研究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刘云、李宇峰、蔡祥、唐玲玲</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highlight w:val="yellow"/>
                <w:lang w:bidi="ar"/>
              </w:rPr>
            </w:pPr>
            <w:bookmarkStart w:id="0" w:name="_GoBack" w:colFirst="0" w:colLast="3"/>
            <w:r>
              <w:rPr>
                <w:rFonts w:hint="eastAsia" w:ascii="宋体" w:hAnsi="宋体" w:cs="宋体"/>
                <w:color w:val="000000"/>
                <w:kern w:val="0"/>
                <w:sz w:val="24"/>
                <w:highlight w:val="yellow"/>
                <w:lang w:bidi="ar"/>
              </w:rPr>
              <w:t>128</w:t>
            </w:r>
          </w:p>
        </w:tc>
        <w:tc>
          <w:tcPr>
            <w:tcW w:w="3366" w:type="dxa"/>
            <w:tcBorders>
              <w:tl2br w:val="nil"/>
              <w:tr2bl w:val="nil"/>
            </w:tcBorders>
            <w:vAlign w:val="center"/>
          </w:tcPr>
          <w:p>
            <w:pPr>
              <w:widowControl/>
              <w:textAlignment w:val="center"/>
              <w:rPr>
                <w:rFonts w:ascii="宋体" w:hAnsi="宋体" w:cs="宋体"/>
                <w:color w:val="000000"/>
                <w:kern w:val="0"/>
                <w:sz w:val="24"/>
                <w:highlight w:val="yellow"/>
                <w:lang w:bidi="ar"/>
              </w:rPr>
            </w:pPr>
            <w:r>
              <w:rPr>
                <w:rFonts w:hint="eastAsia" w:ascii="宋体" w:hAnsi="宋体" w:cs="宋体"/>
                <w:color w:val="000000"/>
                <w:kern w:val="0"/>
                <w:sz w:val="24"/>
                <w:highlight w:val="yellow"/>
                <w:lang w:bidi="ar"/>
              </w:rPr>
              <w:t>后疫情时代扬城学子在线学习对策研究</w:t>
            </w:r>
          </w:p>
        </w:tc>
        <w:tc>
          <w:tcPr>
            <w:tcW w:w="3000" w:type="dxa"/>
            <w:tcBorders>
              <w:tl2br w:val="nil"/>
              <w:tr2bl w:val="nil"/>
            </w:tcBorders>
            <w:vAlign w:val="center"/>
          </w:tcPr>
          <w:p>
            <w:pPr>
              <w:widowControl/>
              <w:textAlignment w:val="center"/>
              <w:rPr>
                <w:rFonts w:ascii="宋体" w:hAnsi="宋体" w:cs="宋体"/>
                <w:color w:val="000000"/>
                <w:kern w:val="0"/>
                <w:sz w:val="24"/>
                <w:highlight w:val="yellow"/>
                <w:lang w:bidi="ar"/>
              </w:rPr>
            </w:pPr>
            <w:r>
              <w:rPr>
                <w:rFonts w:hint="eastAsia" w:ascii="宋体" w:hAnsi="宋体" w:cs="宋体"/>
                <w:color w:val="000000"/>
                <w:kern w:val="0"/>
                <w:sz w:val="24"/>
                <w:highlight w:val="yellow"/>
                <w:lang w:bidi="ar"/>
              </w:rPr>
              <w:t xml:space="preserve">陈青青 、刘穿石 、王清 、姜艳、 尤微 、贾一真 、马融 、 魏潘婷 、陈诗涵、 韦彪  </w:t>
            </w:r>
          </w:p>
        </w:tc>
        <w:tc>
          <w:tcPr>
            <w:tcW w:w="1997" w:type="dxa"/>
            <w:tcBorders>
              <w:tl2br w:val="nil"/>
              <w:tr2bl w:val="nil"/>
            </w:tcBorders>
            <w:vAlign w:val="center"/>
          </w:tcPr>
          <w:p>
            <w:pPr>
              <w:widowControl/>
              <w:jc w:val="center"/>
              <w:textAlignment w:val="center"/>
              <w:rPr>
                <w:rFonts w:ascii="宋体" w:hAnsi="宋体" w:cs="宋体"/>
                <w:color w:val="000000"/>
                <w:kern w:val="0"/>
                <w:sz w:val="24"/>
                <w:highlight w:val="yellow"/>
                <w:lang w:bidi="ar"/>
              </w:rPr>
            </w:pPr>
            <w:r>
              <w:rPr>
                <w:rFonts w:hint="eastAsia" w:ascii="宋体" w:hAnsi="宋体" w:cs="宋体"/>
                <w:color w:val="000000"/>
                <w:kern w:val="0"/>
                <w:sz w:val="24"/>
                <w:highlight w:val="yellow"/>
                <w:lang w:bidi="ar"/>
              </w:rPr>
              <w:t>扬州市职业大学</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129</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扬州传统制造业智能化升级制约因素及发展路径研究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李丹、郭林炀、魏敏、陈琳 、李佳佳</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130</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社会治理视域下扬州市农村老年人公共体育服务体系构建研究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刘大正、徐明胜、卢长彬、吉朝霞</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131</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扬州市重点河湖生态健康评价和治理措施研究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赵进、吕涛、王帅、陈乾、姜艺、顾思晨、苏丹、房广梅、卜春艳</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132</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“双碳”背景下扬州新能源汽车“15分钟充电圈”的建设规划研究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刘秋、戴晓锋、杨秀芳、周伟伟、孙健、李娟</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133</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新形势下促进多渠道灵活就业的对策建议——以扬州高职院校为例</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周智愚、赵进、周颖</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134</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扬州先进制造业集群产业技术转移的高职路径研究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段建、倪晔、杨秀芳、周伟伟、郭振江、钱春贵、韩杰</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135</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“双碳”目标下扬州城市交通绿色转型的对策研究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王维伟、王伟、仇义、郑再象、徐勇、吴金龙、孙健</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136</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“双减”政策下科普公益社团参与教育服务的创新路径研究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成祥、褚美琪、董学枢、程启奥、余璟妍、董昕蕊</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137</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“体育+”背景下扬州市体育旅游发展策略研究  </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顾伟、汪涛、王佳卉、费振洲、符家庆</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138</w:t>
            </w:r>
          </w:p>
        </w:tc>
        <w:tc>
          <w:tcPr>
            <w:tcW w:w="3366" w:type="dxa"/>
            <w:tcBorders>
              <w:tl2br w:val="nil"/>
              <w:tr2bl w:val="nil"/>
            </w:tcBorders>
            <w:noWrap/>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扬州建筑产业智能化升级实现路径研究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沈杰、张军、李晨、朱旭东、薛莹莹、符想、程浩、杨超、周欣</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139</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人工智能与文化创意产业融合发展路径研究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陈思佳、许志恒，乐天芝，嵇杰，张力，王平泉，常富蓉，潘俊</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140</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疫情背景下扬州跨境电商直播发展路径研究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赵翔宇、陈斌、周栗任、焦世奇</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141</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乡村振兴背景下的旅游资源开发利用研究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顾云鹏、杨建华、杨吉方、李云杰、鲁军、陈铭志、于晶晶</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142</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“水韵江苏”背景下扬州运河特色小镇数字化文旅建设研究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蒋芃、于晶晶、王连平、宋晓梅、李 智、乔鹏、吴苏东、鲍守清</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143</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扬州创新链与产业链深度融合困境与对策研究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陈媛媛、张仕立、娄桂玲、凃成</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144</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遗产廊道视角下扬州运河沿线古镇旅游发展策略研究  </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吴扬、陈菲、马箐、徐正东、潘妍、娄桂玲</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145</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知识经济视域下提升扬州高职院校科研管理对策研究 </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刘卫铭、王伟、刘淇、杨吉方</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146</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基于Probit模型的疫情期间扬州高校学生心理状况及应对策略研究——以扬工院为例</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陈乾、赵进、张婷、徐静、吴忠林、苏丹</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147</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扬州运河文化旅游品牌传播路径分析</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刘䴕、刘敏、刘丹</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148</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新形势下促进多渠道灵活就业的对策建议</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刘玉、葛静茹、王鹏、李翱</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149</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数字文旅视角下扬州中国大运河博物馆创新发展的路径研究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姜艺、顾思晨、苏丹、顾郁、赵进、苏攀、张崎静、陈静、金玉娟</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150</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“路径依赖”理论下工科类高校毕业生就地就业意愿研究——以扬州工业职业技术学院为例</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李建军、焦世奇、刘玉</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151</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基于信息技术的城市“智慧出行”服务体系构建研究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揭琳锋、郭振江、周伟伟、钱春贵、韩杰</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152</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疫情防控常态化背景下建设健康扬州的实践探索</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徐瑞、吴莉莉</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153</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叙事学视域下扬州运河故事的讲述与“世界运河之都”品牌建设研究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陈浩、陈静、陈菲、张崎静、秦榕、刘家华、陈果、苏攀</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154</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常态化疫情防控背景下高校学生管理衍生问题研究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姜力波、张乐慧、梁文君</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155</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协同创新模式下扬州先进制造业高质量发展路径探究  </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冯辰、洪婷婷、金玉娟、许晓东、鞠苏成</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156</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扬州传统工艺美术在文创设计中的应用研究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丁伟、张慧、孙雅</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157</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“双减”背景下扬州市高校志愿服务融入社区家庭教育路径研究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裴蓉、魏萍、庄万利、王帅</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158</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乡村振兴视角下“十镇百村千主播”工程在扬州的实践研究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范文娟、焦世奇、王盛</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159</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农业产业集群与农产品电商协同发展机理研究——以宝应荷藕产业集群为例</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陈斌、赵翔宇、焦世奇、栾辉、施伟、周栗任、范文娟、王盛</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160</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融媒体背景下扬州文旅舆论宣传方式创新路径研究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 陈际雨、徐琳、顾郁、顾青青</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161</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职业教育适应性视阈下扬州高职院校“双师型”师资队伍建设研究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刘辕、王慧文、罗玉俊、金明蔚、张伟、沈广健</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162</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扬州循环经济的发展现状与对策研究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常平平、于锦绣、陈蓉、高静、胡汶廷</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163</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二十四节气融入地标菜的旅游开发与设计的研究——以扬州为例</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冯小兰、姚丽、张小燕、梁卫玲、韦格格、张启雯、许柏力楠</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164</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新冠疫情下高校毕业生就地择业状况研究——基于江苏旅游职业学院调查分析</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田雨、曾兴林、张旭、许磊</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165</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扬州养老产业发展对策研究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吴佳进、李齐、赵成、李平、陈佳佳、王月婷、江振涛、顾栋梁 </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166</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新冠疫情背景下高等职业教育助力扬州“三都”文化国际化发展路径研究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程言、姚亮、束梦雅、杨锟</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167</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新时代下加强高校党外知识分子思想政治工作的路径研究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丁唯君、祝永健、高俊、余思雨</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168</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数字旅游背景下扬州文旅民宿业高质量发展路径研究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丁唯也、唐齐超、孙建芳、顾瑛</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169</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扬州基层疫情防控扬州基层组织疫情防控的实践</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董芝杰、郝杰、吴梓萌、瞿苏、刘任静、沈晖</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170</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扬州基层疫情防控的实践与优化探索</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范海敏、常平平、晏凡、葛涛、丁香琴、季礼东</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171</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古运河扬州段园林景观设计研究——以三湾公园为例</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范菁菁、周泽、韩江、仇国龙</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172</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基于大运河文化的扬州非遗文化旅游可持续发展研究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吴鲲、刘沈、邹骅、臧波、张晓丹</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173</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重大卫生事件下扬州应急物流体系构建及优化研究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高欣、余敏、房翠、唐齐超 </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174</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数字科技赋能非遗文化保护与传承研究—以扬州为例</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高欣、周爱青、许霞、吕雯、章莲、程言 </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175</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新冠疫情冲击下扬州中小餐饮企业人员流失现状及对策</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贡湘磊、薛伟、许文广、黄娟、康雨薇</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176</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基于“合作主义”视角下的扬州社区自治与共治模式整合及优化路径研究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杨振方、顾瑛、唐红桃、陈亮</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177</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疫情时代下的扬州地方债务风险防范和化解研究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姚远 、苏海悦</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178</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美丽宜居扬州城背景下养老餐饮服务多元化研究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黄娟、冯刚、康雨薇、周涛、刘任静</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179</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“世界美食之都”建设背景下扬州市（疫情）厨房食品安全研究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张旭、邵俊锋、华松岭、胡晓娟、蒋茜、王庆贺、刘  志、周雄庆、冯刚</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180</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“三孩”政策背景下扬州0-3岁婴幼儿普惠托育体系构建的对策研究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嵇凤珠、郁婷婷、陆薇伊、陈慧、宜雯娟 </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181</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新就业形态下高校毕业生就业能力提升研究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赵佳佳、徐康、徐玥、葛悦、李瑜林、罗树峰 </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182</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扬州县域文旅融合资源串联式发展研究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李茂芬、张晶晶、张凯、张志敏、燕天池</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183</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新发展理念下的扬州区域经济发展研究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李齐、吴佳进、冯  刚、常平平、钱璐、王志强</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184</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数字经济视域下扬州高等职业教育专业建设创新发展研究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梁昊、徐小兰、薛恒威、刘沈、邹骅</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185</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扬州非遗文创创新设计策略与实践路径研究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陆乐、樊弘申、张凯、张小燕、张媛 </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186</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运河文化扬州片区的打造对策研究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仲伟来、常平平、姚丽、陆薇伊</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187</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“东亚文化之都”品牌效用提升研究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马燕萍、吕雯、陈云</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188</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扬州大运河耦联体育旅游发展研究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周文来、吴天琴、杨书龙、刘越 </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189</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 “5G 智慧文旅”视角下的文化创意产业发展对策研究 ----以大运河文化带扬州段为例</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潘诗雨、张志敏、张俊、王道荣、李江民、陈默</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190</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数字旅游助力扬州旅游产业创新发展研究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邹骅、姚娟、余思雨、梁昊、陈云、谢海玲、吴鲲、刘沈</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191</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基于“世界美食之都”品牌建设背景下旅游类人才孵化的策略研究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姜磊、李丹丹、陈亮、冯刚 </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192</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淮扬饮食文化的伦理精神探赜</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邵俭福、刘芳、王雁、张继格、吴静</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193</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“一城三都”建设背景下扬州旅游产业经济收入增加的途径研究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沈小雨、游磊、邹骅、魏日、薛伟</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194</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重大突发公共卫生事件中城市社区治理能力问题及对策研究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孙海哨、谈靖、章超群、朱洁 </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195</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扬州市开发园区“二次创业” 高质量发展研究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孙虹、孙海哨、高峰、王振辉、朱明珠、吴进红</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196</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数字经济背景下高职院校大数据与会计专业人才培养模式研究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孙小英、於增辉、顾金花、王晓云 </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197</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疫情防控常态化背景下高校心理健康教师的成长路径探索</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邰苡嘉、王道荣、郝杰、郑婷婷、吴梓萌、王磊 </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198</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移动互联网背景下旅游营销策略研究——以扬州瘦西湖为例     </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谭兴梅、吴轩雯、钱超、薛 梅、池根生</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199</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市民文明素质存在的问题及提升对策</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唐红桃、陈亮、杨振方</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200</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“老有所为”在扬州后疫情时期旅游业发展中作用的研究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陶琳、高丽娜、陈新春、燕淑梅、许辉</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201</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扬州雕版印刷的传承和发展——基于扬州雕版字体的复刻研究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徐杰、刘宏义、蒋丽凤、张晶晶、王佳媛</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202</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生态文化视域下绿色生活方式构建研究——以扬州市为例</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徐小兰、梁昊、于锦绣、刘  沈、徐长江</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203</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基于1+X证书制度的扬州高职院校现代学徒制会计人才培养模式研究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于锦绣、常平平、徐小兰、郁婷婷、王守东</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204</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新发展格局下，扬州旅游核心产业提质的发展路径探析——以“医养一体化”的康养旅游新模式为例</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朱波、张艳灵、王立慧、李丹、戚英杰、卞勇、王郁、格尔丽、陶君秀</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205</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扬州特色颐养社区建设的对策研究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胡汶廷、常平平、高静</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206</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新冠疫情下社区自治模式创新研究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周雄庆、陈澄、朱小兰、冯刚、张旭</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207</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扬州传统制造业智能化升级研究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任云晖、胡晓素、李想、丁红、韩磊</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208</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新时代数智环境下基层公共文化资源配置的优化对策研究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徐迎春、高辉、张乾、郑棣</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209</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新冠疫情背景下基层社区治理研究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陈天文、冯政军、洪晓静</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210</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数字经济下扬州职业教育人才培养的困境与对策研究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柳文静、魏斌、张乾、周家婕</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211</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扬州碳达峰与碳中和绿色发展有效路径研究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朱美军、高全、毛娟、孙健、韩军</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212</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“云上扬州”对提升城市社会治理和公共服务效能研究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顾年福、吉秀芹、朱美军、朱莎莎</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213</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里下河地区绿色转型发展途径研究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倪秋萍、沈桃、徐万亮、邓社军、王宏捷</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214</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城市更新背景下老小区改造中消防安全问题研究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吉秀芹、唐中亚、冯雯婷、赵爽、李杰</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215</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碳达峰背景下扬州建筑运行碳排放模拟研究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汤锴媚、万连建、赵辉、冯林</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216</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疫情常态化防控背景下扬州高校学生公寓网格化管理的研究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钱琳娜、赵军、陆峰、付爱兵、项唯樑</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217</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基于疫情防控视角的老旧小区改造的策略分析与研究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赵威、万连建、冯林</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218</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“产学研创服”一体化科创平台助推扬州先进制造产业高质量发展研究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张豪、眭怀明、张鸣、鞠燕、杭国花</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219</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宝应县泾河镇乡村振兴路径研究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万江云、韩星星、顾俊、卞云松</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220</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两会视域下扬州重大项目实施状况与发展展望研究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张丽、朱敏红、顾俊、成小红</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221</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疫情常态化下社区项目制治理模式研究－以邗江区蒋王街道为例 </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李平平、王江平、孙健、郝晓云</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222</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扬州智能化老年产业及服务提升中政府作用—以经开区为例</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马业程、孙建、王继鑫、袁小祥、陈红珍</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223</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不宜加装电梯扬州老小区的改造措施的研究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朱敏红、徐斌、曹建新、杭国花</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224</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整体性治理视角下的扬州智慧健康养老产业发展路径研究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王薇、杨军、王新江、李珊珊</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225</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“千年运河·水韵扬州”品牌塑造的对策建议</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陈吟、陆春晖、魏清立</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226</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高层次人才引进与集聚推动扬州经济高质量发展研究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陆剑、陈虎、李敏、孙静</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227</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数字经济下扬州高质量就业发展路径研究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伏小良、吴进红、王寅、成新华</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228</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人力资本理论视角下扬州科创人才引进政策研究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陈江、刘义、王新江、倪恩军</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229</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后疫情时代扬州大运河文旅融合路径研究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陆春晖、徐芹、魏清立、陈吟</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230</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扬州创新链与产业链深度融合研究——以代理记账产业为例</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陈君、任宏、方丽、刘媛媛、吴昊</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231</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新媒体助力扬州县域新型经济发展研究 </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刘细萍、童俐丽、刘鹏、韩洁</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232</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 扬州3岁以下婴幼儿托育服务社会支持体系构建研究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刘剑钊、李俊梅、周莲艳、李琼、范春霞</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233</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“东亚文化之都”品牌效用提升研究—扬州提升文旅产业效益的策略分析</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李虎、高琳、朱萍、张红光</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234</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扬州大运河文化带建设的对策研究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刘涛、刘丹、王丹</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235</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江都区全域旅游发展战略与路径思考</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潘长宏、葛永芳、孙波</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236</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基于“东亚文化之都”品牌的扬州文化产业发展路径创新研究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葛永芳、高琳、孙波、张文峰、吴长敏</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237</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“二孩”“三孩”政策背景下扬州0-3岁婴幼儿照护家庭友好政策的研究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周莲艳、陈健、刘剑钊、李琼</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238</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扬州毛绒玩具产业新的发展方向校企合作动漫周边文创产品开发的研究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东磊、曾沛颖、陆剑驰、朱莲</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239</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基于扬州地域文化特色的产业学院建设实践与思考——以江海职业技术学院安贝斯产业学院为例</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崔晓晓、任雨、陆剑驰、李升文、崔中杰</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240</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宋代美学思想对扬州文创设计的启示</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毛峰、晏煊 、封心宇、 王亚</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241</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扬州红色地名文化的当代价值及其传承</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奚春华、谭运启、翁紫萍、张文倩</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242</w:t>
            </w:r>
          </w:p>
        </w:tc>
        <w:tc>
          <w:tcPr>
            <w:tcW w:w="3366" w:type="dxa"/>
            <w:tcBorders>
              <w:tl2br w:val="nil"/>
              <w:tr2bl w:val="nil"/>
            </w:tcBorders>
            <w:noWrap/>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扬州红色文化融入高职人文教育研究</w:t>
            </w:r>
          </w:p>
        </w:tc>
        <w:tc>
          <w:tcPr>
            <w:tcW w:w="3000" w:type="dxa"/>
            <w:tcBorders>
              <w:tl2br w:val="nil"/>
              <w:tr2bl w:val="nil"/>
            </w:tcBorders>
            <w:noWrap/>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夏昕君、严静、谢悦辰、郝兆玲</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243</w:t>
            </w:r>
          </w:p>
        </w:tc>
        <w:tc>
          <w:tcPr>
            <w:tcW w:w="3366" w:type="dxa"/>
            <w:tcBorders>
              <w:tl2br w:val="nil"/>
              <w:tr2bl w:val="nil"/>
            </w:tcBorders>
            <w:noWrap/>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新形势下促进多渠道灵活就业的对策研究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郝兆玲、戚桂友、奚春华、夏昕君、张晓红</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244</w:t>
            </w:r>
          </w:p>
        </w:tc>
        <w:tc>
          <w:tcPr>
            <w:tcW w:w="3366" w:type="dxa"/>
            <w:tcBorders>
              <w:tl2br w:val="nil"/>
              <w:tr2bl w:val="nil"/>
            </w:tcBorders>
            <w:noWrap/>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“文化基因”视角下京杭大运河扬州段水文化遗产保护实证研究</w:t>
            </w:r>
          </w:p>
        </w:tc>
        <w:tc>
          <w:tcPr>
            <w:tcW w:w="3000" w:type="dxa"/>
            <w:tcBorders>
              <w:tl2br w:val="nil"/>
              <w:tr2bl w:val="nil"/>
            </w:tcBorders>
            <w:noWrap/>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尤子鹃、戎钰、李俊梅、张文峰、何菲</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245</w:t>
            </w:r>
          </w:p>
        </w:tc>
        <w:tc>
          <w:tcPr>
            <w:tcW w:w="3366" w:type="dxa"/>
            <w:tcBorders>
              <w:tl2br w:val="nil"/>
              <w:tr2bl w:val="nil"/>
            </w:tcBorders>
            <w:shd w:val="clear" w:color="auto" w:fill="FFFFFF"/>
            <w:noWrap/>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扬州乡村网络文化建设路径探究</w:t>
            </w:r>
          </w:p>
        </w:tc>
        <w:tc>
          <w:tcPr>
            <w:tcW w:w="3000" w:type="dxa"/>
            <w:tcBorders>
              <w:tl2br w:val="nil"/>
              <w:tr2bl w:val="nil"/>
            </w:tcBorders>
            <w:shd w:val="clear" w:color="auto" w:fill="auto"/>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许玉梅、陈宏来、李俊梅、张晓红、尤子鹃</w:t>
            </w:r>
          </w:p>
        </w:tc>
        <w:tc>
          <w:tcPr>
            <w:tcW w:w="1997" w:type="dxa"/>
            <w:tcBorders>
              <w:tl2br w:val="nil"/>
              <w:tr2bl w:val="nil"/>
            </w:tcBorders>
            <w:shd w:val="clear" w:color="auto" w:fill="FFFFFF"/>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246</w:t>
            </w:r>
          </w:p>
        </w:tc>
        <w:tc>
          <w:tcPr>
            <w:tcW w:w="3366" w:type="dxa"/>
            <w:tcBorders>
              <w:tl2br w:val="nil"/>
              <w:tr2bl w:val="nil"/>
            </w:tcBorders>
            <w:noWrap/>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疫情背景下扬州市场消费力提升路径研究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杨丽华、林祖华、翁紫萍</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247</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体育融入社会治理的运行机制与实践路径探索—以扬州市为例 </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俞佩玉、骆苹、袁小祥、余俊、刘斌</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248</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网络强国背景下扬州体育与旅游融合发展研究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骆苹、俞佩玉、袁小祥、余俊、刘斌</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249</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数字经济背景下高职院校专业转型的探索与实践</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杨军、孙波、任宏、张效金 </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250</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数字经济驱动的职业教育人才培养研究：悉尼协议视角</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陆峰、秦如祥、赵军</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251</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疫情防控背景下优化社会心理服务体系的对策</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臧爱明、付爱兵、陆峰、李想</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252</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后疫情时代促进多渠道灵活就业的对策研究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王颖华、 臧爱明、李丹枫</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253</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基于大数据环境下高职院校学生“网格化”管理模式的构建</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李丹枫、王颖华、臧爱明、叶芳婷</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254</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加强民办高校党外知识分子思想政治引导研究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胡晓素、刘峻、赵军、郭岑、徐颖</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255</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社会治理大数据共通共享研究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周鹏、高全、陈秉洁、丁丽莉、张传远</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256</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社区自治体系的探索与实践研究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丁丽莉、史一子、胡晓素、刘园</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257</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关于图书馆阅读推广社会化服务的思考</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宗静、崔婕</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258</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扬州乡村民宿产业高质量发展研究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全巧梅、陈君、黄小燕、周鹏、陆讷</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259</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在扬州核心旅游板块深度打造休闲度假产业的可行性研究  </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高琳、朱萍、李虎、陈健</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260</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新时代职业院校意识形态工作研究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程芳、陈康林、郭爱娟</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江苏省扬州技师学院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261</w:t>
            </w:r>
          </w:p>
        </w:tc>
        <w:tc>
          <w:tcPr>
            <w:tcW w:w="3366" w:type="dxa"/>
            <w:tcBorders>
              <w:tl2br w:val="nil"/>
              <w:tr2bl w:val="nil"/>
            </w:tcBorders>
            <w:noWrap/>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扬州市高水平技工院校建设研究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刘爱胜、程芳、王劲锋、闫红蕾、王新文、薛飞、何剑波、窦娟</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江苏省扬州技师学院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262</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培育“数字工匠”，助力“智改数转”</w:t>
            </w:r>
          </w:p>
        </w:tc>
        <w:tc>
          <w:tcPr>
            <w:tcW w:w="3000" w:type="dxa"/>
            <w:tcBorders>
              <w:tl2br w:val="nil"/>
              <w:tr2bl w:val="nil"/>
            </w:tcBorders>
            <w:noWrap/>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林峻、薛飞、贾金岚、陈晓语、陈锦琪</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江苏省扬州技师学院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263</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扬州市构建多层次智慧养老服务模式的途径研究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罗潇、沈舒、陈晓语、孙盛、肖舒、刘宏祥</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江苏省扬州技师学院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264</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职业院校教师队伍建设与保障现状研究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陆路、薛飞、闫红蕾、刘爱胜、杨柳、王劲锋</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江苏省扬州技师学院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265</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围绕数字经济的高等职业教育研究 </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曹冬、陈萍</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江苏省扬州技师学院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266</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碳达峰背景下的汽车产业绿色转型对策研究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倪桂荣、陈萍、曹冬、邓荔佳、何栋、刘兴元、李振飞、乔宗堂</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江苏省扬州技师学院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267</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扬州传统工艺美术的时代化、现代化改进对策</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佘媛芳、唐琳、陈小兰、 薛婷、杨柳</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江苏省扬州技师学院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268</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扬州工艺产品的实用化、创意化打造</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朱辉、薛婷、刘恩来、杨成、仲小敏、池冬生</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江苏省扬州技师学院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269</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“数字化转型”赋能职业技能等级认定</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郑杰、贾金岚、 崇云雪</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江苏省扬州技师学院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270</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产教融合背景下职业学校教师队伍建设与保障现状研究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赵杰、贾建伟、李梦霞、申惠芳、潘丹、杭中士、杨超、吴金东</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扬州高等职业技术学校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271</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“智改数转”背景下的“扬州智造”路径研究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闵立中、郑如玉、孙小康、胡冯仪、刘维、万阿平、吉丹俊、袁刚、张翔</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扬州高等职业技术学校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272</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扬州市能源-环境-经济系统动态分析</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吉丹俊、闵立中、郑如玉、万阿平、魏什笛、张中元</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扬州高等职业技术学校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273</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新时代背景下高职院校网络意识形态风险及对策分析</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王玮、胡婷婷、魏静、刘玉娟、沈雪梅、杨贤梅、刘淇</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扬州高等职业技术学校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274</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跨境电商与扬州毛绒玩具产业集群协同发展研究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陈杰、黄燕、高轩、万阿平、朱红娟、柏小凤、王琪、伏广利、翁基明、周梅</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扬州高等职业技术学校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275</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扬州市创新生产要素的引进机制与路径研究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杨寅、唐军、陈晓筱、闫志龙、龙苏、姚欣芃</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南邮通达学院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276</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数字经济下扬州市中小企业数字化转型路径研究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刘俊、闫志龙</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南邮通达学院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277</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智慧城市视阈下扬州市“世界运河之都”文化品牌营销路径研究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侯仕樱、纪花、曹杨、周怡文</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南邮通达学院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278</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新扬州人阅读行为与服务创新研究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梁一丹、孙洁、许霞、时卫东、陈雪丹</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南邮通达学院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279</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短视频平台在技工院校思想政治教育中的运用研究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陈静、祁晓峰、郭婷婷、赵翔、陈璐、蔡璐璐、夏心语、沈阳</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江苏汽车技师学院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280</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新时代背景下扬州地方文化融入技工院校爱国主义教育第二课堂实施的研究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陈璐、凌晨、陈静、张宜军、宋凯炜、夏心语、郭婷婷、葛佳、赵翔</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江苏汽车技师学院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281</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大运河文化融入校园文化建设的探索</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姜海君、李长灏、马文珍、张霞、周雅南</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江苏汽车技师学院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282</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数字化转型视域下扬州大运河博物馆 文化创意产品高质量发展研究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金河、邵璐、王姝、孙大公、管月、张媛、叶丹、张宝霞、郭齐祥</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中瑞酒店职业学院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283</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扬州市城市综合体餐饮业市场消费力研究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王相惠、谭泉泉、康鹤鹤、王壮、贡汉坤、徐晓梅</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中瑞酒店职业学院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284</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大数据赋能基层社会治理的研究——以邗江区西湖街道为例</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周娟、徐萌、吴玲</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285</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挑战、趋势与应对：双减政策影响下的基础教育市场——基于扬州市的个案考察</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陈雪儿、肖立志、边燚、鞠恬</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286</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治理共同体建设中的社区协作研究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高扬、冯敏良、孙凤娟、梁芹</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287</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巩固拓展脱贫攻坚成果同乡村振兴有效衔接研究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刘林山、英震、梁芹</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288</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扬州种质资源保护利用发展对策研究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阚成法、张影</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市人大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289</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扬州法治营商环境优化研究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王振祥、冬冰、陈莘、沈芳</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市政协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290</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发挥海外资源力量 助力开放型经济发展</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王玉琴、陈静、崔苗</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市政协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291</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突发事件处置中精准问责的实践与思考</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徐宏宇、王静、金晓文、杨莹</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市纪委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292</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新时代廉洁文化建设的扬州实践与探索</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赵志宏、张宏朝、唐运生、檀朝满</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市纪委监委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293</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扬州市市直公立医院纪检监察体制改革研究与探索</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黄燕、郭军、黄燕、王林、毛向阳、朱飞、张辉、胡燕</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市纪委监委第五派驻纪检监察组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294</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以“微网格”体系加强基层社会治理的探索和实践</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政法委课题组</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市委政法委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295</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扬州社会稳定形势分析研究和对策建议</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许林灿、徐李华、张明</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市委政法委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296</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推动党史学习教育常态化长效化制度机制研究——以扬州为例</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范梅青、王振祥、潘莉、杨晋苏、刘金狄、李欢</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297</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新形势下乡村文艺需求与供给的研究与思考</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周学军 、陈相辉、王继荣、苗芹、王欢</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298</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扬州探索生态产品价值实现机制试点建设的初步思考</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韩长金、万东民、朱彤、李俊、包金华</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299</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打造同城化，争做跨江融合发展的示范</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王峰、卢广、朱伟、刘健、黄婉奇</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300</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扬州市重大项目全生命周期管理研究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朱枫、张进扬</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301</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全球创意城市网络“美食之都”的国际经验与本土化建构——以扬州为例 </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车国华、夏莹、徐佩、王婧、俞杰、曹明明、胡雪梅</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302</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老年人助餐服务现状及发展研究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李建芳、张伟、邬益军、郑翔、崔继业、林勇、杨杰</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九三学社扬州市委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303</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建设共同富裕背景下扬州居民收入高质量增长研究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张丽、张雨、周晶晶、郑超群</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国家统计局扬州调查队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304</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数字经济赋能扬州经济社会高质量发展路径研究  </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金馨、徐嵘、谈倩茹</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国家统计局扬州调查队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305</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基于文旅融合下扬州红色文物的活化利用</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李颖、吴年华</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市党史学会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306</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新形势下矛盾纠纷多元化解机制研究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陈石、袁志刚、颜素勇、娄广定、张厚诚、陈夏伍、牛多雷</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市信访局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307</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扬州开发园区“二次创业”高质量发展研究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张连生、张玉成、杨加俊、韩倩</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308</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 扬州市政府性债务风险防范化解研究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周春山、潘宝庆、蔡守宇、刘婵娟、郎昆、高晟昱</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市审计局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309</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扬州市级老旧小区改造的实践分析与对策研究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陈焕章、石旋、油翠英</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市审计局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310</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基于现代物流的城市“菜篮子”工程研究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陆安亚、钱利东、钱坤、丁超</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311</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扬州文化新业态发展现状及对策研究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陈凤桂、石火培、孟召鹏</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312</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扬州房地产市场的发展研究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王正俊、顾鸿浩、毛媛慧、钱小军、任往军、张玉</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313</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扬州就业市场现状分析与研究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吴宽广、石火培、张乐天、韩晓雪</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314</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扬州市中小微商贸企业纾困的政策效应与问题研究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薛曦晨、张译文</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315</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扬州市城市河道水生态修复实践研究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王忠凯、李章林、高舒、刘九敏、缪成晨、高嵩</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316</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风险型行政执法行为</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丁泽民、陈吉利、沈彦、后文斌、吴文鑫、贡禄祥</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317</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扬州市完善农村人居环境整治长效机制研究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殷立松、张永林、徐剑</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318</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以诉裁衔接机制为视角探索优化法治营商环境仲裁路径——以扬州仲裁为例       </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张媛媛、凌爱兵、刘智彤、朱婉姝</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市仲裁委秘书处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319</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社会矛盾多元化解机制研究—以打造“智慧”仲裁为蓝本优化非诉多元解纷机制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黄志、陈勇、张澄、姜越</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市仲裁委秘书处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320</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扬州法治营商环境优化研究——从完善多元化解纷机制角度缓解后疫情时期中小微企业生存压力</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胡士博、童海蓉、陆筱玥、龚名之</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市仲裁委秘书处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321</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扬州创新链与产业链深度融合研究—以扬州玉器产业为例</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魏进国、莫小芹、谢一明、刘越、储阳、王珊、陈中岑</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市玉器产品质量监督检验中心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322</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金融支持扬州专精特新“小巨人”企业研究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张翼、和树贺、赵晓红、丁婧玥</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市金融学会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323</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体育与旅游融合发展视域下马拉松赛事外宣英译研究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刘国飞、张欣韵、惠立锋、宋捷</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市体育竞赛管理中心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324</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扬州市粮油质量检测体系建设研究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盛军、周元元、李奇、邹勇平、施华萍、王帅、胡云、王小兰、房文苗、季德媛</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市食品药品检验检测中心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325</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新时代廉洁文化建设研究 </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 王小红、徐亮、尹力、华振云、郭莉、杨阳、濮阳、刘月圆</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何园管理处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326</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协同治理视域下我市生活垃圾分拣收储模式和资源化利用路径研究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范建华、李建芳、杨卫东、校建飞、刘治平、程进、洪晓静、王晓晴、徐振宇、吴晨星</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家禽科学研究所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327</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技术要素市场化改革环境下的创新链与产业链深度融合研究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许渊、陈序、孙建文、王浩、吕旭晖、许婷、葛燚戈、黄珊珊</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市科技资源统筹服务中心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328</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扬州小秦淮河历史沿革与保护利用</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邱正锋</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历史文化名城研究院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329</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扬州古城保护研究现状与展望</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陶巍</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历史文化名城研究院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330</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扬州古城保护数字化研究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吴年华</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中国名城杂志社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331</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基于区块链技术的扬州全民阅读推广智慧平台构建研究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王程、陈罗、邵璐、张鹏、黄丹青、常楠、王海燕、蒋丽娟</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332</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健康中国视阈下法治医院建设路径及 对策研究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徐道亮、孙悦、吴永仁、杨小明、杨晨、石悦</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苏北人民医院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333</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基于Delphi法的住院医师规范化培训OSCE案例库构建探索</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束余声、柏基香、陈娟、于秉洋、陆世春、孙云、李小洁、顾志娥、王强、陈晖、马敏、王道荣</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苏北人民医院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334</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基于Delphi法外科临床护理教学OSCE案例库的构建探索</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柏基香、陈娟、于秉洋、孙云、李小洁、顾志娥、王强、马敏、窦英茹</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苏北人民医院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335</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老龄化下推动扬州市基本医疗保险基金高质量发展策略研究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蔡滨、王静成、毛向阳、周罗晶、李小芳、史力群、杨晨、宋慧</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苏北人民医院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336</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基于情景假设分析的公共卫生应急处置能力体系构建与路径研究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车永茂、沈杏华、吴丽娟 、尹桂芳、王敏、窦英茹、崔有文</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苏北人民医院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337</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基于360度协同管理平台的扬州市公立医院医德管理信息化系统的构建与研究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胡艳丽、蔡滨、张勤、乔继红、王娜娜、徐进、宋慧、王艳</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苏北人民医院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338</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以市级婴幼儿照护指导中心为依托的托育机构医育结合共建新模式探讨  </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王磊、徐扬、张雷、刘砺</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339</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SBAR沟通法在手术科室护理交班中的应用及相关性研究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杨昌松、徐慧文、俞萍、林志娟、袁旭君、梅玲、严俊丽、殷蔚娟、张晶</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340</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地级城市三甲医院人才引进策略研究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史美景、龚开政、伍勇、赵文敏、樊景星、韩思</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341</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扬州市医院对口帮扶工作实施的问题与纾解</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张建友、徐建飞、刘慧、王林、王茂华、陈平、唐在荣、孙建宏</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342</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疫情防控背景下优化医疗卫生服务的研究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陈君、陈东升、刘艳秋、卞鹤君</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343</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提升药学服务水平，助力打造健康中国扬州样本</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黄富宏、吴加娣、徐媛、刘红雨、李全良、夏海建、尹思佳、周长发</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344</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扬州市疾病预防控制系统公共卫生应急机制研究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周信、张军、王寅、董玉颖、吴程</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345</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新冠疫情常态化防控下慢性病患者健康管理现状及健康需求调查研究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解晔、周信、李秋梅、徐勤、邹露、郑轶群、赵培、时巧梅、蒋萌、胡乃元</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市疾病预防控制中心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346</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基于生态科技新城“智改数转”工作的实证研究与思考   </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袁法军、黄金勇、鞠斐扬</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生态科技新城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347</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“放管服”改革背景下乡镇企业发展法治保障研究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陈国俊、庄志、唐大瑜、黄廷旺、马悦</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宝应县人民法院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348</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被不起诉人参与社会公益服务机制的研究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陈浩、王冠</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宝应县人民检察院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349</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扬州农业现代基础设施建设现状、问题与对策研究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陈习林、徐 可</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宝应县委党校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350</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落实“双循环新发展战略”推进扬州产业科创名城建设</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黄如中、乔永华、吴滨兰、陈伟</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宝应县委党校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351</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后疫情时代推动宝应经济高质量发展的对策建议</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杨欢欢</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宝应县委党校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352</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高邮经济开发园区“二次创业”高质量发展研究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谢丹、田威、汪圣杰、胡青青</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高邮经济开发区管委会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353</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完善网格化社会治理 充分发挥网格化治理效能</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龚燕</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高邮市委党校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354</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以"邮理响"融合宣讲凝聚"强国复兴有我"磅礴力量的实践思考</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周忠祥、邵兴华 </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高邮市社科联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355</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新冠肺炎公共卫生疫情背景下的扬州县域基层医疗发展优化探索</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韩万博、卞立新</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高邮市中医医院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356</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社会治理视野下涉诉信访研究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郑磊、朱远军、于谦、姜金良、廖清清</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高邮市人民法院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357</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 从税收视角看疫情对扬州照明器具制造产业集聚发展的影响</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曹永旭、李想、王舸</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国家税务总局高邮市税务局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358</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仪征老旧小区改造的实践分析与对策研究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田德胜、李郭薇、陶丹丹、颜晓雪</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仪征市委党校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359</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扬州现代乡村龙头产业与龙头企业培育对策研究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孙艳、周建、张玥、赵涵冰、陶丹丹</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仪征市委党校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360</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基于大数据条件下的社会“网格化”治理研究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张玥、周建、孙艳、赵涵冰、陶丹丹</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仪征市委党校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361</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公益广告对提升“好地方”扬州的人文视觉形象作用分析</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李孝媛、田德胜、李郭薇</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仪征市委党校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362</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乡村振兴背景下“凤还巢”面临的挑战及对策研究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陶丹丹、刘元龙</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仪征市委党校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363</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社区居民自治实现途径的探索</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闵靖芬、单琳、姜悦、何诗雨</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江都区仙女镇禹王宫社区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364</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建立普惠型养老机制的探索</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袁飞</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江都区民政局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365</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学前教育优质普惠发展建议</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田春华、戚文倩、陆春庚、尤佳、吴雪梅、袁髙岭、刘玉霞、杨永青</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江都区教育局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366</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关于江都区农村人居环境治理的思考</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佘向东</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江都区人大常委会农村委员会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367</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新媒体视域下基层政府治理效能提升策略</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赵威、王炎、赵江南、李伟洁、王琦、张玉清、王虹、张亮亮</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江都区大桥镇人民政府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368</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关于粮食购销领域腐败问题治理实践和思考</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冯旭枫、潘叁、朱安平</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江都区纪委监委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369</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江都区先进制造业高质量发展路径研究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张彩莲、朱先往、马仪刚、刘启翔、姚云霞、仲远风</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江都区委党校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370</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江都区红色文旅资源高质量串联式研究发展</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卞甜、徐琴、李谦、张大雯、施慧、徐海波、蒋小兵</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江都区委党校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371</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扬州基层疫情防控的实践与优化探索</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顾小丽、孙国强、张瑜、陈维芝、吕蕾、单亚青</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江都人民医院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372</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新时代中职校统战工作实践与创新</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陶功美、陈涛、张红旗、仇志勇、李正新、许发新</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江都区职业教育集团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373</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提升全区物业管理和服务水平的调研与思考</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沈少林、樊万顺、欧阳峰</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邗江区政协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374</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加快动能转换，打造高质量发展新引擎</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郑庆武、朱跃龙、张亚彤、凌一兵</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邗江区政协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375</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新媒体时代下社科普及助力市民人文素养提升的邗江实践</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褚亚莉、任妍芳</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邗江区社科联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376</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关于房地产企业破产案件中预重整制度适用研究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王刚、邵国荣、谷丹、左慧、张佳佳</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邗江区人民法院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377</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党建引领城区型乡村振兴的理论与实践研究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唐燕、蒋菲、周奋启</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邗江区蒋王街道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378</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扬州县级法治营商环境优化策略</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刘廷虎、严以丰、蔡林涛</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邗江区委办公室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379</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推进县区“三不”机制建设的实践探索及优化路径研究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陈建、谈昕、张淼淼、陈永胜、李政、陆佳奇</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邗江区纪委监委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380</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扬州建筑产业园高质量发展路径研究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仇震、陈万明、钱长友、张超</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邗江区方巷镇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381</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邗江区“四有三强”型小区行动党支部的实践与探索    </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王张庆、张浩、王潇傲</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邗江区委组织部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382</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邗江区公共文化资源配置现状及发展对策——以电影和阅读为例</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孙荣、廖谦、朱超</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邗江区委宣传部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383</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运河文化片区的打造对策研究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臧卫民、黄文翔、吴骏、陆瑶、侯星星</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瓜洲镇人民政府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384</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邗江区生活垃圾分类中的多元主体协同参与问题及对策研究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杭月、倪萍、陈有成</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邗江区杨庙镇人民政府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385</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信息化背景下基层社会治理创新的实践与启示</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张晓芹、冷嫦娥、唐莹、杨茜茜</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邗江区委党校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386</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社区（村）党群服务中心运行质态研究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赵雅、张晓芹、李欢、潘齐、鲁烨、殷玲玲、吴盼、牛聪</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邗江区委党校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387</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新时代基层领导干部政德建设研究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孙健、刘开瑞、姚云霞、鲍继娜、陈菲、薛梅</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邗江区委党校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388</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大运河文化带建设中以湿地公园为载体推动本土文化活化拉动产业发展研究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昌成亮、叶撄宁、金学强</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北湖湿地旅游度假区管理办公室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389</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教育集团化改革和“双减”改革背景下的教师队伍建设和保障研究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倪凌、昌明、朱新开、李晨、丁昊</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广陵区人大常委会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390</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广陵区完善农村人居环境整治长效机制研究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喻为、夏俊、张健、马成、何淑璇、陈浩、张博远</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广陵区委研究室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391</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广陵区基层网格化治理的实践及其优化路径研究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李庆钧、刘庄、陈伟、戴红兵</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广陵区社科联</w:t>
            </w:r>
          </w:p>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392</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扬州养老产业发展及服务水平提升研究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朱午、成亚梅、周莉、季佳璐</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东南新城管委会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393</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以数字化促进食品产业升级</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季安钢、陈才扣、陈沿明、阮俊宏、邓春娥</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广陵区政协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394</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扬州市农村公路建设的现状及对策研究</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肖怡、沈滨、徐步云、汤玉琨</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广陵区政协社会法制和城建环境资源委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395</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老旧小区改造的实践分析与对策</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叶全跃、李建芳、康凯、许世源、王浙江、姚海峰、孙敏华、沈翔</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广陵区住房和城乡建设局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852"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396</w:t>
            </w:r>
          </w:p>
        </w:tc>
        <w:tc>
          <w:tcPr>
            <w:tcW w:w="3366"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地方公共债务测算与债务风险特征分析：以扬州市为例</w:t>
            </w:r>
          </w:p>
        </w:tc>
        <w:tc>
          <w:tcPr>
            <w:tcW w:w="3000" w:type="dxa"/>
            <w:tcBorders>
              <w:tl2br w:val="nil"/>
              <w:tr2bl w:val="nil"/>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孙姝</w:t>
            </w:r>
          </w:p>
        </w:tc>
        <w:tc>
          <w:tcPr>
            <w:tcW w:w="1997" w:type="dxa"/>
            <w:tcBorders>
              <w:tl2br w:val="nil"/>
              <w:tr2bl w:val="nil"/>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广陵区委党校</w:t>
            </w:r>
          </w:p>
        </w:tc>
      </w:tr>
    </w:tbl>
    <w:p>
      <w:pPr>
        <w:widowControl/>
        <w:textAlignment w:val="center"/>
        <w:rPr>
          <w:rFonts w:ascii="宋体" w:hAnsi="宋体" w:cs="宋体"/>
          <w:color w:val="000000"/>
          <w:kern w:val="0"/>
          <w:sz w:val="24"/>
          <w:lang w:bidi="ar"/>
        </w:rPr>
      </w:pPr>
    </w:p>
    <w:p>
      <w:pPr>
        <w:spacing w:line="680" w:lineRule="exact"/>
        <w:jc w:val="center"/>
      </w:pPr>
    </w:p>
    <w:p>
      <w:pPr>
        <w:spacing w:line="560" w:lineRule="exact"/>
        <w:jc w:val="center"/>
        <w:rPr>
          <w:rFonts w:ascii="方正小标宋简体" w:eastAsia="方正小标宋简体"/>
          <w:color w:val="000000"/>
          <w:sz w:val="44"/>
          <w:szCs w:val="44"/>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imbus Roman No9 L">
    <w:altName w:val="微软雅黑"/>
    <w:panose1 w:val="00000000000000000000"/>
    <w:charset w:val="00"/>
    <w:family w:val="auto"/>
    <w:pitch w:val="default"/>
    <w:sig w:usb0="00000000" w:usb1="00000000" w:usb2="00000000" w:usb3="00000000" w:csb0="0000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7412628"/>
      <w:docPartObj>
        <w:docPartGallery w:val="AutoText"/>
      </w:docPartObj>
    </w:sdtPr>
    <w:sdtContent>
      <w:p>
        <w:pPr>
          <w:pStyle w:val="4"/>
          <w:jc w:val="right"/>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30"/>
    <w:rsid w:val="00000FA8"/>
    <w:rsid w:val="00020C69"/>
    <w:rsid w:val="0002510E"/>
    <w:rsid w:val="000305F6"/>
    <w:rsid w:val="000354D8"/>
    <w:rsid w:val="00043855"/>
    <w:rsid w:val="00047C8C"/>
    <w:rsid w:val="000539C3"/>
    <w:rsid w:val="00054856"/>
    <w:rsid w:val="00063ADE"/>
    <w:rsid w:val="0006636C"/>
    <w:rsid w:val="000731C5"/>
    <w:rsid w:val="0007671C"/>
    <w:rsid w:val="00076FC2"/>
    <w:rsid w:val="000823A1"/>
    <w:rsid w:val="0008246C"/>
    <w:rsid w:val="0009054D"/>
    <w:rsid w:val="00096697"/>
    <w:rsid w:val="000B071C"/>
    <w:rsid w:val="000B6D04"/>
    <w:rsid w:val="000B751C"/>
    <w:rsid w:val="000C3C51"/>
    <w:rsid w:val="000D69D0"/>
    <w:rsid w:val="000D7CF2"/>
    <w:rsid w:val="000E37C9"/>
    <w:rsid w:val="000E3EEB"/>
    <w:rsid w:val="000E6071"/>
    <w:rsid w:val="000E77D0"/>
    <w:rsid w:val="000F2780"/>
    <w:rsid w:val="000F2BB2"/>
    <w:rsid w:val="001047FA"/>
    <w:rsid w:val="00104C59"/>
    <w:rsid w:val="00112205"/>
    <w:rsid w:val="0012765D"/>
    <w:rsid w:val="001456AD"/>
    <w:rsid w:val="00147943"/>
    <w:rsid w:val="00166A91"/>
    <w:rsid w:val="001722D8"/>
    <w:rsid w:val="001760B5"/>
    <w:rsid w:val="00181A47"/>
    <w:rsid w:val="0019043B"/>
    <w:rsid w:val="00192AB4"/>
    <w:rsid w:val="00196480"/>
    <w:rsid w:val="001B7A75"/>
    <w:rsid w:val="001C18F9"/>
    <w:rsid w:val="001C22C0"/>
    <w:rsid w:val="001E67F4"/>
    <w:rsid w:val="001F30A5"/>
    <w:rsid w:val="00200B77"/>
    <w:rsid w:val="002028AD"/>
    <w:rsid w:val="002049D5"/>
    <w:rsid w:val="002410D7"/>
    <w:rsid w:val="002430AF"/>
    <w:rsid w:val="002467DB"/>
    <w:rsid w:val="00250C25"/>
    <w:rsid w:val="002553E9"/>
    <w:rsid w:val="002553EB"/>
    <w:rsid w:val="00260877"/>
    <w:rsid w:val="002622C7"/>
    <w:rsid w:val="0026608A"/>
    <w:rsid w:val="00270618"/>
    <w:rsid w:val="00272176"/>
    <w:rsid w:val="00272A1B"/>
    <w:rsid w:val="00273D46"/>
    <w:rsid w:val="002B0783"/>
    <w:rsid w:val="002B2C4E"/>
    <w:rsid w:val="002B7EC6"/>
    <w:rsid w:val="002C238B"/>
    <w:rsid w:val="002C2B26"/>
    <w:rsid w:val="002C452C"/>
    <w:rsid w:val="002D2251"/>
    <w:rsid w:val="002E6268"/>
    <w:rsid w:val="002F541B"/>
    <w:rsid w:val="002F63D2"/>
    <w:rsid w:val="00300E78"/>
    <w:rsid w:val="00300EDF"/>
    <w:rsid w:val="00302A25"/>
    <w:rsid w:val="00302D8A"/>
    <w:rsid w:val="00305EE4"/>
    <w:rsid w:val="00306577"/>
    <w:rsid w:val="00312B14"/>
    <w:rsid w:val="00314657"/>
    <w:rsid w:val="00320D67"/>
    <w:rsid w:val="00321F21"/>
    <w:rsid w:val="00325BE1"/>
    <w:rsid w:val="00330E1A"/>
    <w:rsid w:val="003333B9"/>
    <w:rsid w:val="003423BB"/>
    <w:rsid w:val="00343F83"/>
    <w:rsid w:val="00345C04"/>
    <w:rsid w:val="00346D2E"/>
    <w:rsid w:val="00375517"/>
    <w:rsid w:val="00377BA7"/>
    <w:rsid w:val="003A26A1"/>
    <w:rsid w:val="003A33CA"/>
    <w:rsid w:val="003B0165"/>
    <w:rsid w:val="003B3372"/>
    <w:rsid w:val="003B6248"/>
    <w:rsid w:val="003C1FD0"/>
    <w:rsid w:val="003C75DA"/>
    <w:rsid w:val="003D7320"/>
    <w:rsid w:val="003E183D"/>
    <w:rsid w:val="003E5B9D"/>
    <w:rsid w:val="003F1300"/>
    <w:rsid w:val="003F3D6B"/>
    <w:rsid w:val="003F5D38"/>
    <w:rsid w:val="003F6963"/>
    <w:rsid w:val="004059DB"/>
    <w:rsid w:val="00407883"/>
    <w:rsid w:val="00417898"/>
    <w:rsid w:val="0042554C"/>
    <w:rsid w:val="00426FB1"/>
    <w:rsid w:val="00444036"/>
    <w:rsid w:val="0047109B"/>
    <w:rsid w:val="00471240"/>
    <w:rsid w:val="00471E3B"/>
    <w:rsid w:val="00471E79"/>
    <w:rsid w:val="00472334"/>
    <w:rsid w:val="00472A5C"/>
    <w:rsid w:val="00474B3F"/>
    <w:rsid w:val="00481E7B"/>
    <w:rsid w:val="004946F6"/>
    <w:rsid w:val="004973B7"/>
    <w:rsid w:val="004B2F52"/>
    <w:rsid w:val="004B6378"/>
    <w:rsid w:val="004B7139"/>
    <w:rsid w:val="004C54A2"/>
    <w:rsid w:val="004D02C4"/>
    <w:rsid w:val="004D3187"/>
    <w:rsid w:val="004D3CD7"/>
    <w:rsid w:val="004D46B2"/>
    <w:rsid w:val="004E2DC9"/>
    <w:rsid w:val="004F1629"/>
    <w:rsid w:val="004F4092"/>
    <w:rsid w:val="00502E39"/>
    <w:rsid w:val="00527EEC"/>
    <w:rsid w:val="0053079D"/>
    <w:rsid w:val="00532DE6"/>
    <w:rsid w:val="0053383B"/>
    <w:rsid w:val="005359FC"/>
    <w:rsid w:val="00537190"/>
    <w:rsid w:val="005376AF"/>
    <w:rsid w:val="005429B1"/>
    <w:rsid w:val="00547DE1"/>
    <w:rsid w:val="005555EB"/>
    <w:rsid w:val="005560D8"/>
    <w:rsid w:val="00556350"/>
    <w:rsid w:val="00556BA8"/>
    <w:rsid w:val="00562297"/>
    <w:rsid w:val="005634EF"/>
    <w:rsid w:val="00567655"/>
    <w:rsid w:val="00574A29"/>
    <w:rsid w:val="005804F2"/>
    <w:rsid w:val="00586E1A"/>
    <w:rsid w:val="00593784"/>
    <w:rsid w:val="005A2FF4"/>
    <w:rsid w:val="005A507B"/>
    <w:rsid w:val="005B15DC"/>
    <w:rsid w:val="005B2AAB"/>
    <w:rsid w:val="005C0F51"/>
    <w:rsid w:val="005C443A"/>
    <w:rsid w:val="005D4BA0"/>
    <w:rsid w:val="005E0259"/>
    <w:rsid w:val="005E31D9"/>
    <w:rsid w:val="005E3277"/>
    <w:rsid w:val="005F12AD"/>
    <w:rsid w:val="005F1BA9"/>
    <w:rsid w:val="005F5645"/>
    <w:rsid w:val="005F5673"/>
    <w:rsid w:val="006068D7"/>
    <w:rsid w:val="00613901"/>
    <w:rsid w:val="00620970"/>
    <w:rsid w:val="00633274"/>
    <w:rsid w:val="0063397D"/>
    <w:rsid w:val="006344FF"/>
    <w:rsid w:val="00634D9A"/>
    <w:rsid w:val="00637E57"/>
    <w:rsid w:val="006401A8"/>
    <w:rsid w:val="00643396"/>
    <w:rsid w:val="006474FF"/>
    <w:rsid w:val="00653D6B"/>
    <w:rsid w:val="006562A3"/>
    <w:rsid w:val="006659C8"/>
    <w:rsid w:val="00671624"/>
    <w:rsid w:val="00672807"/>
    <w:rsid w:val="00674176"/>
    <w:rsid w:val="006873A0"/>
    <w:rsid w:val="0069105C"/>
    <w:rsid w:val="006A2013"/>
    <w:rsid w:val="006A3CA3"/>
    <w:rsid w:val="006B1125"/>
    <w:rsid w:val="006B70BB"/>
    <w:rsid w:val="006D0F22"/>
    <w:rsid w:val="006D313A"/>
    <w:rsid w:val="006D4168"/>
    <w:rsid w:val="006D67B1"/>
    <w:rsid w:val="006E2E9E"/>
    <w:rsid w:val="006E4D8E"/>
    <w:rsid w:val="006F33EF"/>
    <w:rsid w:val="006F4E92"/>
    <w:rsid w:val="0070638D"/>
    <w:rsid w:val="00713FEB"/>
    <w:rsid w:val="007162A2"/>
    <w:rsid w:val="00722C87"/>
    <w:rsid w:val="0072517D"/>
    <w:rsid w:val="00733138"/>
    <w:rsid w:val="0073331A"/>
    <w:rsid w:val="00736A5B"/>
    <w:rsid w:val="007457E7"/>
    <w:rsid w:val="00754608"/>
    <w:rsid w:val="007633B0"/>
    <w:rsid w:val="00772354"/>
    <w:rsid w:val="00774397"/>
    <w:rsid w:val="00776836"/>
    <w:rsid w:val="007820EC"/>
    <w:rsid w:val="007827EE"/>
    <w:rsid w:val="0078715F"/>
    <w:rsid w:val="00790F13"/>
    <w:rsid w:val="00796809"/>
    <w:rsid w:val="00797F07"/>
    <w:rsid w:val="007A0710"/>
    <w:rsid w:val="007A2126"/>
    <w:rsid w:val="007A244A"/>
    <w:rsid w:val="007A36F0"/>
    <w:rsid w:val="007A429C"/>
    <w:rsid w:val="007A460C"/>
    <w:rsid w:val="007B77FC"/>
    <w:rsid w:val="007C4AFF"/>
    <w:rsid w:val="007E3078"/>
    <w:rsid w:val="007E3EE0"/>
    <w:rsid w:val="007F0030"/>
    <w:rsid w:val="007F4D33"/>
    <w:rsid w:val="00805AF6"/>
    <w:rsid w:val="00822CBE"/>
    <w:rsid w:val="00823C71"/>
    <w:rsid w:val="00826D9F"/>
    <w:rsid w:val="00830D4E"/>
    <w:rsid w:val="008326DE"/>
    <w:rsid w:val="00834582"/>
    <w:rsid w:val="00852765"/>
    <w:rsid w:val="00857BE9"/>
    <w:rsid w:val="00875F32"/>
    <w:rsid w:val="00885BA2"/>
    <w:rsid w:val="00892BF5"/>
    <w:rsid w:val="00896388"/>
    <w:rsid w:val="00897BE8"/>
    <w:rsid w:val="008A011B"/>
    <w:rsid w:val="008A060F"/>
    <w:rsid w:val="008A1C16"/>
    <w:rsid w:val="008B6D2B"/>
    <w:rsid w:val="008B7B54"/>
    <w:rsid w:val="008C302C"/>
    <w:rsid w:val="008C3A37"/>
    <w:rsid w:val="008D037F"/>
    <w:rsid w:val="008D1D78"/>
    <w:rsid w:val="008D49CA"/>
    <w:rsid w:val="008D6D69"/>
    <w:rsid w:val="008E65E9"/>
    <w:rsid w:val="00902DEA"/>
    <w:rsid w:val="0090322D"/>
    <w:rsid w:val="00937BA2"/>
    <w:rsid w:val="00937D1D"/>
    <w:rsid w:val="00942CE9"/>
    <w:rsid w:val="00947A2E"/>
    <w:rsid w:val="009522C1"/>
    <w:rsid w:val="0095344D"/>
    <w:rsid w:val="00957CAB"/>
    <w:rsid w:val="009910F6"/>
    <w:rsid w:val="00991C13"/>
    <w:rsid w:val="0099282E"/>
    <w:rsid w:val="00995DF3"/>
    <w:rsid w:val="00997840"/>
    <w:rsid w:val="009A41D2"/>
    <w:rsid w:val="009C33BA"/>
    <w:rsid w:val="009C7B08"/>
    <w:rsid w:val="009E0036"/>
    <w:rsid w:val="009E0FA0"/>
    <w:rsid w:val="009F27AB"/>
    <w:rsid w:val="00A076ED"/>
    <w:rsid w:val="00A07D7B"/>
    <w:rsid w:val="00A10242"/>
    <w:rsid w:val="00A1354A"/>
    <w:rsid w:val="00A1620F"/>
    <w:rsid w:val="00A25374"/>
    <w:rsid w:val="00A35306"/>
    <w:rsid w:val="00A44A91"/>
    <w:rsid w:val="00A46CD7"/>
    <w:rsid w:val="00A54966"/>
    <w:rsid w:val="00A55221"/>
    <w:rsid w:val="00A64EB5"/>
    <w:rsid w:val="00A6743D"/>
    <w:rsid w:val="00A67F15"/>
    <w:rsid w:val="00A67F18"/>
    <w:rsid w:val="00A72D94"/>
    <w:rsid w:val="00A776CD"/>
    <w:rsid w:val="00A85028"/>
    <w:rsid w:val="00A93A96"/>
    <w:rsid w:val="00A966FB"/>
    <w:rsid w:val="00A96A7B"/>
    <w:rsid w:val="00AB2342"/>
    <w:rsid w:val="00AE6858"/>
    <w:rsid w:val="00AF1691"/>
    <w:rsid w:val="00AF1B5B"/>
    <w:rsid w:val="00AF6F79"/>
    <w:rsid w:val="00B008F5"/>
    <w:rsid w:val="00B02C16"/>
    <w:rsid w:val="00B12767"/>
    <w:rsid w:val="00B1564B"/>
    <w:rsid w:val="00B16375"/>
    <w:rsid w:val="00B225B2"/>
    <w:rsid w:val="00B27C65"/>
    <w:rsid w:val="00B3019D"/>
    <w:rsid w:val="00B35A35"/>
    <w:rsid w:val="00B368C4"/>
    <w:rsid w:val="00B37C05"/>
    <w:rsid w:val="00B52734"/>
    <w:rsid w:val="00B5376A"/>
    <w:rsid w:val="00B54F3F"/>
    <w:rsid w:val="00B66553"/>
    <w:rsid w:val="00B66A6D"/>
    <w:rsid w:val="00B87520"/>
    <w:rsid w:val="00BA0E91"/>
    <w:rsid w:val="00BA243E"/>
    <w:rsid w:val="00BA28DE"/>
    <w:rsid w:val="00BA33EB"/>
    <w:rsid w:val="00BA68E9"/>
    <w:rsid w:val="00BB6746"/>
    <w:rsid w:val="00BB70D7"/>
    <w:rsid w:val="00BC252C"/>
    <w:rsid w:val="00BC7BD0"/>
    <w:rsid w:val="00BD1D52"/>
    <w:rsid w:val="00BE4EF7"/>
    <w:rsid w:val="00BF1726"/>
    <w:rsid w:val="00C03242"/>
    <w:rsid w:val="00C10CFE"/>
    <w:rsid w:val="00C17F86"/>
    <w:rsid w:val="00C40739"/>
    <w:rsid w:val="00C47FFB"/>
    <w:rsid w:val="00C55C2B"/>
    <w:rsid w:val="00C57F07"/>
    <w:rsid w:val="00C666BF"/>
    <w:rsid w:val="00C74CEE"/>
    <w:rsid w:val="00C75D69"/>
    <w:rsid w:val="00C96946"/>
    <w:rsid w:val="00CA23F5"/>
    <w:rsid w:val="00CA4DA6"/>
    <w:rsid w:val="00CA606D"/>
    <w:rsid w:val="00CA6A7F"/>
    <w:rsid w:val="00CB1E01"/>
    <w:rsid w:val="00CB4F4F"/>
    <w:rsid w:val="00CD218F"/>
    <w:rsid w:val="00CD524F"/>
    <w:rsid w:val="00CD65EC"/>
    <w:rsid w:val="00CE184D"/>
    <w:rsid w:val="00CF377D"/>
    <w:rsid w:val="00D04FFE"/>
    <w:rsid w:val="00D108F1"/>
    <w:rsid w:val="00D1205F"/>
    <w:rsid w:val="00D41149"/>
    <w:rsid w:val="00D41513"/>
    <w:rsid w:val="00D44088"/>
    <w:rsid w:val="00D5358A"/>
    <w:rsid w:val="00D53F65"/>
    <w:rsid w:val="00D57714"/>
    <w:rsid w:val="00D60AE1"/>
    <w:rsid w:val="00D60D9B"/>
    <w:rsid w:val="00D65A9B"/>
    <w:rsid w:val="00D65FCA"/>
    <w:rsid w:val="00D70F25"/>
    <w:rsid w:val="00D73985"/>
    <w:rsid w:val="00D750D4"/>
    <w:rsid w:val="00DA21EE"/>
    <w:rsid w:val="00DA2FA5"/>
    <w:rsid w:val="00DA4CE4"/>
    <w:rsid w:val="00DC76E1"/>
    <w:rsid w:val="00DD2730"/>
    <w:rsid w:val="00DD3B2C"/>
    <w:rsid w:val="00DE27EC"/>
    <w:rsid w:val="00DF3971"/>
    <w:rsid w:val="00DF7EC0"/>
    <w:rsid w:val="00E27568"/>
    <w:rsid w:val="00E31367"/>
    <w:rsid w:val="00E37583"/>
    <w:rsid w:val="00E41C46"/>
    <w:rsid w:val="00E51C32"/>
    <w:rsid w:val="00E520C4"/>
    <w:rsid w:val="00E54F09"/>
    <w:rsid w:val="00E65408"/>
    <w:rsid w:val="00E70861"/>
    <w:rsid w:val="00E721CA"/>
    <w:rsid w:val="00E815C5"/>
    <w:rsid w:val="00E93A2C"/>
    <w:rsid w:val="00E93F55"/>
    <w:rsid w:val="00E94B85"/>
    <w:rsid w:val="00E96343"/>
    <w:rsid w:val="00E97EEF"/>
    <w:rsid w:val="00EA4A51"/>
    <w:rsid w:val="00EA623D"/>
    <w:rsid w:val="00EB1164"/>
    <w:rsid w:val="00EB6821"/>
    <w:rsid w:val="00EC2375"/>
    <w:rsid w:val="00ED21AC"/>
    <w:rsid w:val="00ED2A36"/>
    <w:rsid w:val="00ED3671"/>
    <w:rsid w:val="00EE5404"/>
    <w:rsid w:val="00EE7365"/>
    <w:rsid w:val="00F07EA2"/>
    <w:rsid w:val="00F106E4"/>
    <w:rsid w:val="00F136B3"/>
    <w:rsid w:val="00F154A8"/>
    <w:rsid w:val="00F203A8"/>
    <w:rsid w:val="00F26C92"/>
    <w:rsid w:val="00F31A9E"/>
    <w:rsid w:val="00F3319D"/>
    <w:rsid w:val="00F348D2"/>
    <w:rsid w:val="00F357B2"/>
    <w:rsid w:val="00F35C6C"/>
    <w:rsid w:val="00F41EE4"/>
    <w:rsid w:val="00F421EB"/>
    <w:rsid w:val="00F44362"/>
    <w:rsid w:val="00F446C0"/>
    <w:rsid w:val="00F504F6"/>
    <w:rsid w:val="00F51ACE"/>
    <w:rsid w:val="00F53DD5"/>
    <w:rsid w:val="00F55BCD"/>
    <w:rsid w:val="00F56468"/>
    <w:rsid w:val="00F57DF9"/>
    <w:rsid w:val="00F62063"/>
    <w:rsid w:val="00F652F3"/>
    <w:rsid w:val="00F6637E"/>
    <w:rsid w:val="00F770A0"/>
    <w:rsid w:val="00F92257"/>
    <w:rsid w:val="00F93147"/>
    <w:rsid w:val="00FA1BC1"/>
    <w:rsid w:val="00FA5027"/>
    <w:rsid w:val="00FB24D6"/>
    <w:rsid w:val="00FB6BCB"/>
    <w:rsid w:val="00FC7731"/>
    <w:rsid w:val="00FD23CE"/>
    <w:rsid w:val="00FE1767"/>
    <w:rsid w:val="7DF66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link w:val="13"/>
    <w:qFormat/>
    <w:uiPriority w:val="0"/>
    <w:pPr>
      <w:spacing w:after="120"/>
      <w:ind w:left="420" w:leftChars="200"/>
    </w:pPr>
    <w:rPr>
      <w:rFonts w:asciiTheme="minorHAnsi" w:hAnsiTheme="minorHAnsi" w:eastAsiaTheme="minorEastAsia" w:cstheme="minorBidi"/>
      <w:szCs w:val="22"/>
    </w:rPr>
  </w:style>
  <w:style w:type="paragraph" w:styleId="3">
    <w:name w:val="Balloon Text"/>
    <w:basedOn w:val="1"/>
    <w:link w:val="12"/>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page number"/>
    <w:qFormat/>
    <w:uiPriority w:val="0"/>
  </w:style>
  <w:style w:type="character" w:customStyle="1" w:styleId="10">
    <w:name w:val="页眉 字符"/>
    <w:basedOn w:val="8"/>
    <w:link w:val="5"/>
    <w:uiPriority w:val="0"/>
    <w:rPr>
      <w:rFonts w:ascii="Times New Roman" w:hAnsi="Times New Roman" w:eastAsia="宋体" w:cs="Times New Roman"/>
      <w:sz w:val="18"/>
      <w:szCs w:val="18"/>
    </w:rPr>
  </w:style>
  <w:style w:type="character" w:customStyle="1" w:styleId="11">
    <w:name w:val="页脚 字符"/>
    <w:basedOn w:val="8"/>
    <w:link w:val="4"/>
    <w:qFormat/>
    <w:uiPriority w:val="99"/>
    <w:rPr>
      <w:rFonts w:ascii="Times New Roman" w:hAnsi="Times New Roman" w:eastAsia="宋体" w:cs="Times New Roman"/>
      <w:sz w:val="18"/>
      <w:szCs w:val="18"/>
    </w:rPr>
  </w:style>
  <w:style w:type="character" w:customStyle="1" w:styleId="12">
    <w:name w:val="批注框文本 字符"/>
    <w:basedOn w:val="8"/>
    <w:link w:val="3"/>
    <w:qFormat/>
    <w:uiPriority w:val="0"/>
    <w:rPr>
      <w:rFonts w:ascii="Times New Roman" w:hAnsi="Times New Roman" w:eastAsia="宋体" w:cs="Times New Roman"/>
      <w:sz w:val="18"/>
      <w:szCs w:val="18"/>
    </w:rPr>
  </w:style>
  <w:style w:type="character" w:customStyle="1" w:styleId="13">
    <w:name w:val="正文文本缩进 字符"/>
    <w:link w:val="2"/>
    <w:qFormat/>
    <w:uiPriority w:val="0"/>
  </w:style>
  <w:style w:type="character" w:customStyle="1" w:styleId="14">
    <w:name w:val="正文文本缩进 Char1"/>
    <w:basedOn w:val="8"/>
    <w:semiHidden/>
    <w:uiPriority w:val="99"/>
    <w:rPr>
      <w:rFonts w:ascii="Times New Roman" w:hAnsi="Times New Roman" w:eastAsia="宋体" w:cs="Times New Roman"/>
      <w:szCs w:val="24"/>
    </w:rPr>
  </w:style>
  <w:style w:type="character" w:customStyle="1" w:styleId="15">
    <w:name w:val="font31"/>
    <w:qFormat/>
    <w:uiPriority w:val="0"/>
    <w:rPr>
      <w:rFonts w:hint="default" w:ascii="Nimbus Roman No9 L" w:hAnsi="Nimbus Roman No9 L" w:eastAsia="Nimbus Roman No9 L" w:cs="Nimbus Roman No9 L"/>
      <w:color w:val="000000"/>
      <w:sz w:val="24"/>
      <w:szCs w:val="24"/>
      <w:u w:val="none"/>
    </w:rPr>
  </w:style>
  <w:style w:type="character" w:customStyle="1" w:styleId="16">
    <w:name w:val="font01"/>
    <w:qFormat/>
    <w:uiPriority w:val="0"/>
    <w:rPr>
      <w:rFonts w:ascii="Nimbus Roman No9 L" w:hAnsi="Nimbus Roman No9 L" w:eastAsia="Nimbus Roman No9 L" w:cs="Nimbus Roman No9 L"/>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30</Pages>
  <Words>3242</Words>
  <Characters>18485</Characters>
  <Lines>154</Lines>
  <Paragraphs>43</Paragraphs>
  <TotalTime>2</TotalTime>
  <ScaleCrop>false</ScaleCrop>
  <LinksUpToDate>false</LinksUpToDate>
  <CharactersWithSpaces>21684</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2023-03-16T03:13:00Z</dcterms:created>
  <dc:creator>未定义</dc:creator>
  <cp:lastModifiedBy>尤微</cp:lastModifiedBy>
  <cp:lastPrinted>2023-03-13T02:52:00Z</cp:lastPrinted>
  <dcterms:modified xsi:type="dcterms:W3CDTF">2023-03-20T01:33:05Z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